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E2" w:rsidRDefault="00367273" w:rsidP="00367DAE">
      <w:pPr>
        <w:pStyle w:val="a3"/>
        <w:ind w:firstLine="0"/>
        <w:rPr>
          <w:rFonts w:eastAsia="Times New Roman" w:cs="Times New Roman"/>
          <w:color w:val="000000"/>
          <w:sz w:val="18"/>
          <w:szCs w:val="26"/>
          <w:lang w:eastAsia="ru-RU"/>
        </w:rPr>
      </w:pPr>
      <w:r w:rsidRPr="00367DAE">
        <w:rPr>
          <w:rFonts w:eastAsia="Times New Roman" w:cs="Times New Roman"/>
          <w:color w:val="000000"/>
          <w:sz w:val="18"/>
          <w:szCs w:val="26"/>
          <w:lang w:eastAsia="ru-RU"/>
        </w:rPr>
        <w:t>УДК 519.6</w:t>
      </w:r>
    </w:p>
    <w:p w:rsidR="00367DAE" w:rsidRPr="00A93E0A" w:rsidRDefault="00A93E0A" w:rsidP="00A93E0A">
      <w:pPr>
        <w:pStyle w:val="a4"/>
        <w:jc w:val="center"/>
        <w:rPr>
          <w:sz w:val="20"/>
        </w:rPr>
      </w:pPr>
      <w:r w:rsidRPr="00A93E0A">
        <w:rPr>
          <w:sz w:val="20"/>
        </w:rPr>
        <w:t>В.Г.</w:t>
      </w:r>
      <w:r w:rsidR="000E493E">
        <w:rPr>
          <w:sz w:val="20"/>
        </w:rPr>
        <w:t xml:space="preserve"> </w:t>
      </w:r>
      <w:bookmarkStart w:id="0" w:name="_GoBack"/>
      <w:bookmarkEnd w:id="0"/>
      <w:r w:rsidRPr="00A93E0A">
        <w:rPr>
          <w:sz w:val="20"/>
        </w:rPr>
        <w:t>Давыдов</w:t>
      </w:r>
    </w:p>
    <w:p w:rsidR="00A93E0A" w:rsidRPr="004E1ACC" w:rsidRDefault="00A93E0A" w:rsidP="007D12A4">
      <w:pPr>
        <w:pStyle w:val="5"/>
        <w:ind w:firstLine="0"/>
        <w:jc w:val="center"/>
        <w:rPr>
          <w:sz w:val="20"/>
        </w:rPr>
      </w:pPr>
      <w:r w:rsidRPr="007D12A4">
        <w:rPr>
          <w:sz w:val="20"/>
        </w:rPr>
        <w:t xml:space="preserve">(г. Казань, </w:t>
      </w:r>
      <w:r w:rsidR="006A1FDC" w:rsidRPr="007D12A4">
        <w:rPr>
          <w:sz w:val="20"/>
        </w:rPr>
        <w:t xml:space="preserve">ФГБОУ ВО «Казанский национальный исследовательский технический университет им. </w:t>
      </w:r>
      <w:proofErr w:type="spellStart"/>
      <w:r w:rsidR="006A1FDC" w:rsidRPr="007D12A4">
        <w:rPr>
          <w:sz w:val="20"/>
        </w:rPr>
        <w:t>А.Н.Туполева</w:t>
      </w:r>
      <w:proofErr w:type="spellEnd"/>
      <w:r w:rsidR="006A1FDC" w:rsidRPr="007D12A4">
        <w:rPr>
          <w:sz w:val="20"/>
        </w:rPr>
        <w:t>-КАИ»)</w:t>
      </w:r>
    </w:p>
    <w:p w:rsidR="002D1B14" w:rsidRPr="007D12A4" w:rsidRDefault="002D1B14" w:rsidP="007D12A4">
      <w:pPr>
        <w:pStyle w:val="5"/>
        <w:ind w:firstLine="0"/>
        <w:jc w:val="center"/>
        <w:rPr>
          <w:b/>
          <w:sz w:val="20"/>
          <w:shd w:val="clear" w:color="auto" w:fill="FFFFFF"/>
        </w:rPr>
      </w:pPr>
      <w:r w:rsidRPr="007D12A4">
        <w:rPr>
          <w:b/>
          <w:sz w:val="20"/>
          <w:shd w:val="clear" w:color="auto" w:fill="FFFFFF"/>
        </w:rPr>
        <w:t>МОДЕЛИРОВАНИЕ ДИСКРЕТНО-НЕЛИНЕЙНОЙ ДИНАМИЧЕСКОЙ СИСТЕМЫ ДМИТРИЕВА-КИСЛОВА С СЕЛЕКТИВНЫМ ПОДАВЛЕНИЕМ ФОРМИРУЕМЫХ СИГНАЛОВ</w:t>
      </w:r>
    </w:p>
    <w:p w:rsidR="002D1B14" w:rsidRDefault="0093484D" w:rsidP="002D1B14">
      <w:pPr>
        <w:pStyle w:val="a3"/>
        <w:ind w:firstLine="0"/>
        <w:jc w:val="center"/>
        <w:rPr>
          <w:color w:val="000000" w:themeColor="text1"/>
          <w:sz w:val="18"/>
          <w:szCs w:val="20"/>
          <w:lang w:val="en-US"/>
        </w:rPr>
      </w:pPr>
      <w:r w:rsidRPr="0093484D">
        <w:rPr>
          <w:color w:val="000000" w:themeColor="text1"/>
          <w:sz w:val="18"/>
          <w:szCs w:val="20"/>
          <w:lang w:val="en-US"/>
        </w:rPr>
        <w:t xml:space="preserve">MODELING </w:t>
      </w:r>
      <w:r w:rsidR="002D1B14" w:rsidRPr="002D1B14">
        <w:rPr>
          <w:color w:val="000000" w:themeColor="text1"/>
          <w:sz w:val="18"/>
          <w:szCs w:val="20"/>
          <w:lang w:val="en-US"/>
        </w:rPr>
        <w:t xml:space="preserve">OF THE DISCRETE-NONLINEAR DYNAMIC SYSTEM OF DMITRIEV-KISLOV WITH SELECTIVE </w:t>
      </w:r>
      <w:r>
        <w:rPr>
          <w:color w:val="000000" w:themeColor="text1"/>
          <w:sz w:val="18"/>
          <w:szCs w:val="20"/>
          <w:lang w:val="en-US"/>
        </w:rPr>
        <w:t>REJECTION</w:t>
      </w:r>
      <w:r w:rsidR="002D1B14" w:rsidRPr="002D1B14">
        <w:rPr>
          <w:color w:val="000000" w:themeColor="text1"/>
          <w:sz w:val="18"/>
          <w:szCs w:val="20"/>
          <w:lang w:val="en-US"/>
        </w:rPr>
        <w:t xml:space="preserve"> OF FORMED SIGNALS</w:t>
      </w:r>
    </w:p>
    <w:p w:rsidR="00D97A91" w:rsidRPr="009E3CCD" w:rsidRDefault="00AA5E38" w:rsidP="00A460D0">
      <w:pPr>
        <w:pStyle w:val="31"/>
      </w:pPr>
      <w:r>
        <w:t xml:space="preserve">Рассмотрено влияние величины нормированного шага интегрирования на </w:t>
      </w:r>
      <w:r w:rsidR="00263911">
        <w:t>эффективность селективного подавления сигналов дискретно-нелинейной системы Дмитриева-Кислова.</w:t>
      </w:r>
    </w:p>
    <w:p w:rsidR="00D97A91" w:rsidRPr="00263911" w:rsidRDefault="00263911" w:rsidP="00A460D0">
      <w:pPr>
        <w:pStyle w:val="31"/>
        <w:rPr>
          <w:szCs w:val="20"/>
          <w:lang w:val="en-US"/>
        </w:rPr>
      </w:pPr>
      <w:r w:rsidRPr="00263911">
        <w:rPr>
          <w:szCs w:val="20"/>
          <w:lang w:val="en-US"/>
        </w:rPr>
        <w:t xml:space="preserve">The influence of the </w:t>
      </w:r>
      <w:r>
        <w:rPr>
          <w:szCs w:val="20"/>
          <w:lang w:val="en-US"/>
        </w:rPr>
        <w:t>value</w:t>
      </w:r>
      <w:r w:rsidRPr="00263911">
        <w:rPr>
          <w:szCs w:val="20"/>
          <w:lang w:val="en-US"/>
        </w:rPr>
        <w:t xml:space="preserve"> of the normalized integration step on the efficiency of selective </w:t>
      </w:r>
      <w:r>
        <w:rPr>
          <w:szCs w:val="20"/>
          <w:lang w:val="en-US"/>
        </w:rPr>
        <w:t>rejection</w:t>
      </w:r>
      <w:r w:rsidRPr="00263911">
        <w:rPr>
          <w:szCs w:val="20"/>
          <w:lang w:val="en-US"/>
        </w:rPr>
        <w:t xml:space="preserve"> of signals of the discrete-nonlinear </w:t>
      </w:r>
      <w:proofErr w:type="spellStart"/>
      <w:r w:rsidRPr="00263911">
        <w:rPr>
          <w:szCs w:val="20"/>
          <w:lang w:val="en-US"/>
        </w:rPr>
        <w:t>Dmitriev-Kislov</w:t>
      </w:r>
      <w:proofErr w:type="spellEnd"/>
      <w:r w:rsidRPr="00263911">
        <w:rPr>
          <w:szCs w:val="20"/>
          <w:lang w:val="en-US"/>
        </w:rPr>
        <w:t xml:space="preserve"> system is considered.</w:t>
      </w:r>
    </w:p>
    <w:p w:rsidR="00263911" w:rsidRDefault="00263911" w:rsidP="00263911">
      <w:pPr>
        <w:pStyle w:val="31"/>
      </w:pPr>
      <w:r>
        <w:t xml:space="preserve">Ключевые слова: </w:t>
      </w:r>
      <w:r w:rsidR="004D2C60">
        <w:t>динамический хаос, селективное подавление</w:t>
      </w:r>
    </w:p>
    <w:p w:rsidR="00263911" w:rsidRPr="009E3CCD" w:rsidRDefault="004D2C60" w:rsidP="00A460D0">
      <w:pPr>
        <w:pStyle w:val="31"/>
        <w:rPr>
          <w:i w:val="0"/>
          <w:szCs w:val="20"/>
        </w:rPr>
      </w:pPr>
      <w:r>
        <w:rPr>
          <w:lang w:val="en-US"/>
        </w:rPr>
        <w:t>Keywords</w:t>
      </w:r>
      <w:r w:rsidRPr="009E3CCD">
        <w:t xml:space="preserve">: </w:t>
      </w:r>
      <w:r w:rsidRPr="004D2C60">
        <w:rPr>
          <w:lang w:val="en-US"/>
        </w:rPr>
        <w:t>dynamic</w:t>
      </w:r>
      <w:r w:rsidRPr="009E3CCD">
        <w:t xml:space="preserve"> </w:t>
      </w:r>
      <w:r w:rsidRPr="004D2C60">
        <w:rPr>
          <w:lang w:val="en-US"/>
        </w:rPr>
        <w:t>chaos</w:t>
      </w:r>
      <w:r w:rsidRPr="009E3CCD">
        <w:t xml:space="preserve">, </w:t>
      </w:r>
      <w:r w:rsidRPr="004D2C60">
        <w:rPr>
          <w:lang w:val="en-US"/>
        </w:rPr>
        <w:t>selective</w:t>
      </w:r>
      <w:r w:rsidRPr="009E3CCD">
        <w:t xml:space="preserve"> </w:t>
      </w:r>
      <w:r>
        <w:rPr>
          <w:lang w:val="en-US"/>
        </w:rPr>
        <w:t>rejection</w:t>
      </w:r>
    </w:p>
    <w:p w:rsidR="00D97A91" w:rsidRDefault="00F5075B" w:rsidP="009F17CC">
      <w:pPr>
        <w:pStyle w:val="a3"/>
      </w:pPr>
      <w:r>
        <w:t>Широкополосные сигналы на основе динамического хаоса применяются в конфиденциальных системах</w:t>
      </w:r>
      <w:r w:rsidR="00C7067D">
        <w:t xml:space="preserve"> передачи информации</w:t>
      </w:r>
      <w:r>
        <w:t>.</w:t>
      </w:r>
      <w:r w:rsidR="00C7067D">
        <w:t xml:space="preserve"> </w:t>
      </w:r>
      <w:r w:rsidR="000459D7">
        <w:t>В</w:t>
      </w:r>
      <w:r w:rsidR="009F17CC">
        <w:t xml:space="preserve"> цифровых устройствах</w:t>
      </w:r>
      <w:r w:rsidR="000459D7">
        <w:t xml:space="preserve"> реализуются дискретные модели порождающих нелинейных систем.</w:t>
      </w:r>
      <w:r w:rsidR="00C60C0C">
        <w:t xml:space="preserve"> Актуальным является исследование </w:t>
      </w:r>
      <w:r w:rsidR="008A2F11">
        <w:t>селективного подавления с целью эффективной обработки сигналов</w:t>
      </w:r>
      <w:r w:rsidR="001E1975">
        <w:t xml:space="preserve"> дискретно-нелинейной системы Дмитриева-Кислова</w:t>
      </w:r>
      <w:r w:rsidR="008A2F11">
        <w:t>.</w:t>
      </w:r>
      <w:r w:rsidR="005B28F5">
        <w:t xml:space="preserve"> </w:t>
      </w:r>
    </w:p>
    <w:p w:rsidR="00A73180" w:rsidRDefault="005B28F5" w:rsidP="009F17CC">
      <w:pPr>
        <w:pStyle w:val="a3"/>
      </w:pPr>
      <w:r>
        <w:t xml:space="preserve">Шаг интегрирования при численном решении системы уравнений влияет на характеристики формируемых сигналов. </w:t>
      </w:r>
      <w:r w:rsidR="00434277">
        <w:t>Формирование и обработка сигналов дискретно-нелинейной системы</w:t>
      </w:r>
      <w:r w:rsidR="004F77C0">
        <w:t xml:space="preserve"> Дмитриева-Кислова </w:t>
      </w:r>
      <w:r w:rsidR="00434277">
        <w:t>осуществляется</w:t>
      </w:r>
      <w:r w:rsidR="004F77C0">
        <w:t xml:space="preserve"> в цифровом устройстве. </w:t>
      </w:r>
      <w:r w:rsidR="00C80F12">
        <w:t>Цель ра</w:t>
      </w:r>
      <w:r w:rsidR="00A73180">
        <w:t xml:space="preserve">боты заключается в сокращении вычислительных </w:t>
      </w:r>
      <w:r w:rsidR="00ED4D8F">
        <w:t>затрат на формирование</w:t>
      </w:r>
      <w:r w:rsidR="00A73180">
        <w:t xml:space="preserve"> сигналов </w:t>
      </w:r>
      <w:r w:rsidR="00ED4D8F">
        <w:t>и реализацию селективного подавления.</w:t>
      </w:r>
      <w:r w:rsidR="004F77C0">
        <w:t xml:space="preserve"> </w:t>
      </w:r>
      <w:r w:rsidR="00B37CC0">
        <w:t xml:space="preserve">Задача исследования состоит в определении </w:t>
      </w:r>
      <w:r w:rsidR="006D05B9">
        <w:t xml:space="preserve">допустимого </w:t>
      </w:r>
      <w:r w:rsidR="00B37CC0">
        <w:t>диапазона</w:t>
      </w:r>
      <w:r w:rsidR="009A7459" w:rsidRPr="009A7459">
        <w:t>, в котором</w:t>
      </w:r>
      <w:r w:rsidR="009A7459">
        <w:t xml:space="preserve"> можно</w:t>
      </w:r>
      <w:r w:rsidR="00EB4E0A" w:rsidRPr="00EB4E0A">
        <w:t xml:space="preserve"> </w:t>
      </w:r>
      <w:r w:rsidR="009A7459">
        <w:t>варьировать величину</w:t>
      </w:r>
      <w:r w:rsidR="006D05B9">
        <w:t xml:space="preserve"> нормированного</w:t>
      </w:r>
      <w:r w:rsidR="00B37CC0">
        <w:t xml:space="preserve"> шага</w:t>
      </w:r>
      <w:r w:rsidR="00EB4E0A">
        <w:t xml:space="preserve"> численного</w:t>
      </w:r>
      <w:r w:rsidR="00B37CC0">
        <w:t xml:space="preserve"> интегрирования, когда селективное подавление </w:t>
      </w:r>
      <w:r w:rsidR="00EB4E0A">
        <w:t>может быть эффективно произведено при заданных параметрах дискретной системы Дмитриева-</w:t>
      </w:r>
      <w:r w:rsidR="006D05B9">
        <w:t>Кислова</w:t>
      </w:r>
      <w:r w:rsidR="00EB4E0A">
        <w:t>.</w:t>
      </w:r>
    </w:p>
    <w:p w:rsidR="00202EB5" w:rsidRDefault="00AD7B7E" w:rsidP="005B28F5">
      <w:pPr>
        <w:pStyle w:val="a3"/>
      </w:pPr>
      <w:r>
        <w:t xml:space="preserve">В среде </w:t>
      </w:r>
      <w:r w:rsidRPr="00AD7B7E">
        <w:rPr>
          <w:i/>
          <w:lang w:val="en-US"/>
        </w:rPr>
        <w:t>Mathcad</w:t>
      </w:r>
      <w:r w:rsidRPr="00AD7B7E">
        <w:t xml:space="preserve"> </w:t>
      </w:r>
      <w:r w:rsidR="00E83854">
        <w:t>получена</w:t>
      </w:r>
      <w:r>
        <w:t xml:space="preserve"> модель дискретной системы Дмитриева-Кислова для генерирования исходных хаотических сигналов</w:t>
      </w:r>
      <w:r w:rsidR="00351E7E">
        <w:t xml:space="preserve">. Численное решение системы уравнений производится методом Эйлера </w:t>
      </w:r>
      <w:r w:rsidR="002010AF">
        <w:t xml:space="preserve">при вариации величины </w:t>
      </w:r>
      <w:r w:rsidR="00084A93">
        <w:t xml:space="preserve">нормированного </w:t>
      </w:r>
      <w:r w:rsidR="002010AF">
        <w:t>шага</w:t>
      </w:r>
      <w:r w:rsidR="00351E7E">
        <w:t xml:space="preserve"> интегрирования. </w:t>
      </w:r>
      <w:r w:rsidR="00B07075">
        <w:t>Применена модель белого шума</w:t>
      </w:r>
      <w:r w:rsidR="008D7CA8">
        <w:t>, сформированного встроенной функцией</w:t>
      </w:r>
      <w:r w:rsidR="00206ED3">
        <w:t xml:space="preserve"> </w:t>
      </w:r>
      <w:proofErr w:type="spellStart"/>
      <w:r w:rsidR="008D7CA8" w:rsidRPr="008D7CA8">
        <w:rPr>
          <w:i/>
          <w:lang w:val="en-US"/>
        </w:rPr>
        <w:t>rnd</w:t>
      </w:r>
      <w:proofErr w:type="spellEnd"/>
      <w:r w:rsidR="00B07075">
        <w:t xml:space="preserve">. </w:t>
      </w:r>
    </w:p>
    <w:p w:rsidR="00CC2399" w:rsidRDefault="009D031F" w:rsidP="00A6514A">
      <w:pPr>
        <w:pStyle w:val="a3"/>
      </w:pPr>
      <w:r>
        <w:t xml:space="preserve"> </w:t>
      </w:r>
      <w:r w:rsidR="00A53AE5">
        <w:t xml:space="preserve"> </w:t>
      </w:r>
      <w:r w:rsidR="00CA5495">
        <w:t>П</w:t>
      </w:r>
      <w:r w:rsidR="008D7CA8">
        <w:t>роизводится селективное подавление сигнала в одном из каналов</w:t>
      </w:r>
      <w:r w:rsidR="00D96277">
        <w:t xml:space="preserve"> (канал </w:t>
      </w:r>
      <w:r w:rsidR="00D96277" w:rsidRPr="00D96277">
        <w:rPr>
          <w:i/>
        </w:rPr>
        <w:t>Х</w:t>
      </w:r>
      <w:r w:rsidR="00D96277">
        <w:t>)</w:t>
      </w:r>
      <w:r w:rsidR="008D7CA8">
        <w:t xml:space="preserve"> в условиях действия шума и при вариации уровня шума. </w:t>
      </w:r>
      <w:r w:rsidR="00D96277">
        <w:t>С целью повышения помехоустойчивости п</w:t>
      </w:r>
      <w:r w:rsidR="00202EB5">
        <w:t>роизводится предварительная НЧ-фильтрация смеси входных сигналов с шумом.</w:t>
      </w:r>
      <w:r w:rsidR="00A6514A">
        <w:t xml:space="preserve"> </w:t>
      </w:r>
      <w:r w:rsidR="00CA5495">
        <w:t xml:space="preserve">Для осуществления </w:t>
      </w:r>
      <w:r w:rsidR="00CA5495">
        <w:lastRenderedPageBreak/>
        <w:t>селективного подавления формируется опорный сигнал на основе интегральной оценки</w:t>
      </w:r>
      <w:r w:rsidR="001555E5">
        <w:t xml:space="preserve"> (1).</w:t>
      </w:r>
    </w:p>
    <w:p w:rsidR="00EF0856" w:rsidRDefault="000115BE" w:rsidP="00CC2399">
      <w:pPr>
        <w:pStyle w:val="a3"/>
        <w:jc w:val="right"/>
      </w:pPr>
      <w:r w:rsidRPr="000115BE">
        <w:rPr>
          <w:color w:val="000000"/>
          <w:position w:val="-28"/>
        </w:rPr>
        <w:object w:dxaOrig="18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24.6pt" o:ole="">
            <v:imagedata r:id="rId4" o:title=""/>
          </v:shape>
          <o:OLEObject Type="Embed" ProgID="Equation.DSMT4" ShapeID="_x0000_i1025" DrawAspect="Content" ObjectID="_1664271498" r:id="rId5"/>
        </w:object>
      </w:r>
      <w:r w:rsidR="00CC2399">
        <w:rPr>
          <w:color w:val="000000"/>
        </w:rPr>
        <w:tab/>
      </w:r>
      <w:r w:rsidR="00CC2399">
        <w:rPr>
          <w:color w:val="000000"/>
        </w:rPr>
        <w:tab/>
      </w:r>
      <w:r w:rsidR="00CC2399">
        <w:rPr>
          <w:color w:val="000000"/>
        </w:rPr>
        <w:tab/>
        <w:t>(1)</w:t>
      </w:r>
    </w:p>
    <w:p w:rsidR="00A6514A" w:rsidRDefault="00A6514A" w:rsidP="00A6514A">
      <w:pPr>
        <w:pStyle w:val="a3"/>
      </w:pPr>
      <w:r>
        <w:t xml:space="preserve">Структурная схема системы селективного подавления сигналов </w:t>
      </w:r>
      <w:r w:rsidR="006944E1">
        <w:t>показана на</w:t>
      </w:r>
      <w:r>
        <w:t xml:space="preserve"> Рис.1.</w:t>
      </w:r>
      <w:r w:rsidR="00C11489">
        <w:t xml:space="preserve"> </w:t>
      </w:r>
      <w:r w:rsidR="00084A93">
        <w:t xml:space="preserve"> </w:t>
      </w:r>
    </w:p>
    <w:p w:rsidR="00A6514A" w:rsidRPr="00AC42E5" w:rsidRDefault="00A6514A" w:rsidP="00A6514A">
      <w:pPr>
        <w:pStyle w:val="a6"/>
        <w:rPr>
          <w:szCs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B21685A" wp14:editId="7BAD3875">
            <wp:extent cx="3384300" cy="1514246"/>
            <wp:effectExtent l="0" t="0" r="6985" b="0"/>
            <wp:docPr id="1" name="Рисунок 1" descr="W:\ПРАКТИКА\ПРАКТИКА_файлы\Схема_структурная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:\ПРАКТИКА\ПРАКТИКА_файлы\Схема_структурная_нов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82" cy="15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4A" w:rsidRPr="00A6514A" w:rsidRDefault="00A6514A" w:rsidP="00A6514A">
      <w:pPr>
        <w:spacing w:after="0" w:line="264" w:lineRule="auto"/>
        <w:jc w:val="center"/>
        <w:rPr>
          <w:rFonts w:ascii="Times New Roman" w:hAnsi="Times New Roman"/>
          <w:i/>
          <w:iCs/>
          <w:color w:val="000000"/>
          <w:sz w:val="18"/>
        </w:rPr>
      </w:pPr>
      <w:r w:rsidRPr="00A6514A">
        <w:rPr>
          <w:rFonts w:ascii="Times New Roman" w:hAnsi="Times New Roman"/>
          <w:i/>
          <w:color w:val="000000"/>
          <w:sz w:val="18"/>
        </w:rPr>
        <w:t>Рис. 1.</w:t>
      </w:r>
      <w:r w:rsidRPr="00A6514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6514A">
        <w:rPr>
          <w:rFonts w:ascii="Times New Roman" w:hAnsi="Times New Roman"/>
          <w:i/>
          <w:iCs/>
          <w:color w:val="000000"/>
          <w:sz w:val="18"/>
        </w:rPr>
        <w:t>Структурная схема устройства избирательного подавления при формировании опорного сигнала на стороне приёма</w:t>
      </w:r>
    </w:p>
    <w:p w:rsidR="00FE1276" w:rsidRDefault="008150C2" w:rsidP="0024634E">
      <w:pPr>
        <w:pStyle w:val="a6"/>
      </w:pPr>
      <w:r>
        <w:rPr>
          <w:noProof/>
          <w:lang w:eastAsia="ru-RU"/>
        </w:rPr>
        <w:drawing>
          <wp:inline distT="0" distB="0" distL="0" distR="0" wp14:anchorId="15E73C4A" wp14:editId="63009708">
            <wp:extent cx="1419149" cy="138257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biLevel thresh="75000"/>
                    </a:blip>
                    <a:srcRect l="11190" b="6320"/>
                    <a:stretch/>
                  </pic:blipFill>
                  <pic:spPr bwMode="auto">
                    <a:xfrm>
                      <a:off x="0" y="0"/>
                      <a:ext cx="1423667" cy="138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1D68">
        <w:rPr>
          <w:noProof/>
          <w:lang w:eastAsia="ru-RU"/>
        </w:rPr>
        <w:drawing>
          <wp:inline distT="0" distB="0" distL="0" distR="0" wp14:anchorId="7A3515F8" wp14:editId="6198CBAB">
            <wp:extent cx="1280160" cy="138761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biLevel thresh="75000"/>
                    </a:blip>
                    <a:srcRect l="12683" b="6070"/>
                    <a:stretch/>
                  </pic:blipFill>
                  <pic:spPr bwMode="auto">
                    <a:xfrm>
                      <a:off x="0" y="0"/>
                      <a:ext cx="1287164" cy="139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0E72">
        <w:rPr>
          <w:noProof/>
          <w:lang w:eastAsia="ru-RU"/>
        </w:rPr>
        <w:drawing>
          <wp:inline distT="0" distB="0" distL="0" distR="0" wp14:anchorId="7ACBE3A5" wp14:editId="7AE91DF5">
            <wp:extent cx="1492301" cy="13806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biLevel thresh="75000"/>
                    </a:blip>
                    <a:srcRect l="12442" b="6776"/>
                    <a:stretch/>
                  </pic:blipFill>
                  <pic:spPr bwMode="auto">
                    <a:xfrm>
                      <a:off x="0" y="0"/>
                      <a:ext cx="1497041" cy="1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D68" w:rsidRPr="000922D9" w:rsidRDefault="002E1D68" w:rsidP="002E1D68">
      <w:pPr>
        <w:pStyle w:val="a3"/>
        <w:jc w:val="center"/>
        <w:rPr>
          <w:i/>
          <w:sz w:val="18"/>
        </w:rPr>
      </w:pPr>
      <w:r>
        <w:rPr>
          <w:i/>
          <w:sz w:val="18"/>
        </w:rPr>
        <w:t>Рис.2. Фазовые портреты (</w:t>
      </w:r>
      <w:r>
        <w:rPr>
          <w:i/>
          <w:sz w:val="18"/>
          <w:lang w:val="en-US"/>
        </w:rPr>
        <w:t>X</w:t>
      </w:r>
      <w:r w:rsidRPr="002E1D68">
        <w:rPr>
          <w:i/>
          <w:sz w:val="18"/>
        </w:rPr>
        <w:t>-</w:t>
      </w:r>
      <w:r>
        <w:rPr>
          <w:i/>
          <w:sz w:val="18"/>
          <w:lang w:val="en-US"/>
        </w:rPr>
        <w:t>Z</w:t>
      </w:r>
      <w:r w:rsidRPr="002E1D68">
        <w:rPr>
          <w:i/>
          <w:sz w:val="18"/>
        </w:rPr>
        <w:t xml:space="preserve">) </w:t>
      </w:r>
      <w:r w:rsidR="008150C2">
        <w:rPr>
          <w:i/>
          <w:sz w:val="18"/>
        </w:rPr>
        <w:t>при нормированном шаге 0.08</w:t>
      </w:r>
      <w:r>
        <w:rPr>
          <w:i/>
          <w:sz w:val="18"/>
        </w:rPr>
        <w:t>, 0.</w:t>
      </w:r>
      <w:r w:rsidR="008150C2">
        <w:rPr>
          <w:i/>
          <w:sz w:val="18"/>
        </w:rPr>
        <w:t>095</w:t>
      </w:r>
      <w:r>
        <w:rPr>
          <w:i/>
          <w:sz w:val="18"/>
        </w:rPr>
        <w:t xml:space="preserve"> и 0.2</w:t>
      </w:r>
    </w:p>
    <w:p w:rsidR="00884917" w:rsidRDefault="00884917" w:rsidP="00884917">
      <w:pPr>
        <w:pStyle w:val="a3"/>
      </w:pPr>
      <w:r>
        <w:t>Результаты моделирования представлена в Табл.1</w:t>
      </w:r>
      <w:r w:rsidR="005E1774">
        <w:t>– 3</w:t>
      </w:r>
      <w:r>
        <w:t>.</w:t>
      </w:r>
    </w:p>
    <w:p w:rsidR="00C26F22" w:rsidRPr="005E1774" w:rsidRDefault="00884917" w:rsidP="007C490B">
      <w:pPr>
        <w:pStyle w:val="a9"/>
        <w:jc w:val="center"/>
        <w:rPr>
          <w:i/>
        </w:rPr>
      </w:pPr>
      <w:r w:rsidRPr="005E1774">
        <w:rPr>
          <w:i/>
        </w:rPr>
        <w:t xml:space="preserve">Табл.1. </w:t>
      </w:r>
      <w:r w:rsidR="00777C73" w:rsidRPr="005E1774">
        <w:rPr>
          <w:i/>
        </w:rPr>
        <w:t>Нормированный шаг интегрирования –  0.001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312"/>
        <w:gridCol w:w="1993"/>
        <w:gridCol w:w="615"/>
        <w:gridCol w:w="615"/>
        <w:gridCol w:w="615"/>
        <w:gridCol w:w="615"/>
        <w:gridCol w:w="615"/>
        <w:gridCol w:w="525"/>
      </w:tblGrid>
      <w:tr w:rsidR="00CC2399" w:rsidRPr="007C490B" w:rsidTr="007C490B">
        <w:trPr>
          <w:jc w:val="center"/>
        </w:trPr>
        <w:tc>
          <w:tcPr>
            <w:tcW w:w="2394" w:type="pct"/>
            <w:gridSpan w:val="2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Отношение сигнал/шум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0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-20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-40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-60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  <w:highlight w:val="lightGray"/>
              </w:rPr>
            </w:pPr>
            <w:r w:rsidRPr="007C490B">
              <w:rPr>
                <w:sz w:val="18"/>
                <w:szCs w:val="18"/>
              </w:rPr>
              <w:t>-80</w:t>
            </w:r>
          </w:p>
        </w:tc>
        <w:tc>
          <w:tcPr>
            <w:tcW w:w="382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  <w:highlight w:val="lightGray"/>
              </w:rPr>
            </w:pPr>
            <w:r w:rsidRPr="007C490B">
              <w:rPr>
                <w:sz w:val="18"/>
                <w:szCs w:val="18"/>
              </w:rPr>
              <w:t>-85</w:t>
            </w:r>
          </w:p>
        </w:tc>
      </w:tr>
      <w:tr w:rsidR="00CC2399" w:rsidRPr="007C490B" w:rsidTr="007C490B">
        <w:trPr>
          <w:trHeight w:val="318"/>
          <w:jc w:val="center"/>
        </w:trPr>
        <w:tc>
          <w:tcPr>
            <w:tcW w:w="951" w:type="pct"/>
            <w:vMerge w:val="restar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Подавление</w:t>
            </w:r>
          </w:p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</w:rPr>
              <w:t xml:space="preserve">сигнала </w:t>
            </w:r>
            <w:r w:rsidRPr="007C490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44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 xml:space="preserve">относительно </w:t>
            </w:r>
            <w:r w:rsidRPr="007C490B">
              <w:rPr>
                <w:sz w:val="18"/>
                <w:szCs w:val="18"/>
                <w:lang w:val="en-US"/>
              </w:rPr>
              <w:t>Y</w:t>
            </w:r>
            <w:r w:rsidRPr="007C490B">
              <w:rPr>
                <w:sz w:val="18"/>
                <w:szCs w:val="18"/>
              </w:rPr>
              <w:t>, дБ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74,3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7</w:t>
            </w:r>
            <w:r w:rsidRPr="007C490B">
              <w:rPr>
                <w:sz w:val="18"/>
                <w:szCs w:val="18"/>
              </w:rPr>
              <w:t>8</w:t>
            </w:r>
            <w:r w:rsidRPr="007C490B"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52.9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32.9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12.9</w:t>
            </w:r>
          </w:p>
        </w:tc>
        <w:tc>
          <w:tcPr>
            <w:tcW w:w="382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7.9</w:t>
            </w:r>
          </w:p>
        </w:tc>
      </w:tr>
      <w:tr w:rsidR="00CC2399" w:rsidRPr="007C490B" w:rsidTr="007C490B">
        <w:trPr>
          <w:trHeight w:val="318"/>
          <w:jc w:val="center"/>
        </w:trPr>
        <w:tc>
          <w:tcPr>
            <w:tcW w:w="951" w:type="pct"/>
            <w:vMerge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 xml:space="preserve">относительно </w:t>
            </w:r>
            <w:r w:rsidRPr="007C490B">
              <w:rPr>
                <w:sz w:val="18"/>
                <w:szCs w:val="18"/>
                <w:lang w:val="en-US"/>
              </w:rPr>
              <w:t>Z</w:t>
            </w:r>
            <w:r w:rsidRPr="007C490B">
              <w:rPr>
                <w:sz w:val="18"/>
                <w:szCs w:val="18"/>
              </w:rPr>
              <w:t>, дБ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74,6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7</w:t>
            </w:r>
            <w:r w:rsidRPr="007C490B">
              <w:rPr>
                <w:sz w:val="18"/>
                <w:szCs w:val="18"/>
              </w:rPr>
              <w:t>9</w:t>
            </w:r>
            <w:r w:rsidRPr="007C490B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53.3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33.2</w:t>
            </w:r>
          </w:p>
        </w:tc>
        <w:tc>
          <w:tcPr>
            <w:tcW w:w="445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13.2</w:t>
            </w:r>
          </w:p>
        </w:tc>
        <w:tc>
          <w:tcPr>
            <w:tcW w:w="382" w:type="pct"/>
            <w:vAlign w:val="center"/>
          </w:tcPr>
          <w:p w:rsidR="00CC2399" w:rsidRPr="007C490B" w:rsidRDefault="00CC2399" w:rsidP="007C490B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8.3</w:t>
            </w:r>
          </w:p>
        </w:tc>
      </w:tr>
    </w:tbl>
    <w:p w:rsidR="005E1774" w:rsidRPr="000922D9" w:rsidRDefault="005E1774" w:rsidP="005E1774">
      <w:pPr>
        <w:pStyle w:val="a9"/>
        <w:jc w:val="center"/>
        <w:rPr>
          <w:i/>
          <w:lang w:val="en-US"/>
        </w:rPr>
      </w:pPr>
      <w:r w:rsidRPr="00C55ACB">
        <w:rPr>
          <w:i/>
        </w:rPr>
        <w:t>Табл.2. Нормированный шаг интегрирования –  0.08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22"/>
        <w:gridCol w:w="1594"/>
        <w:gridCol w:w="779"/>
        <w:gridCol w:w="779"/>
        <w:gridCol w:w="779"/>
        <w:gridCol w:w="779"/>
        <w:gridCol w:w="773"/>
      </w:tblGrid>
      <w:tr w:rsidR="00777C73" w:rsidRPr="007C490B" w:rsidTr="00F84B0A">
        <w:tc>
          <w:tcPr>
            <w:tcW w:w="3055" w:type="dxa"/>
            <w:gridSpan w:val="2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Отношение сигнал/шум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-20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-40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-60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-70</w:t>
            </w:r>
          </w:p>
        </w:tc>
      </w:tr>
      <w:tr w:rsidR="00777C73" w:rsidRPr="007C490B" w:rsidTr="00F84B0A">
        <w:trPr>
          <w:trHeight w:val="318"/>
        </w:trPr>
        <w:tc>
          <w:tcPr>
            <w:tcW w:w="1441" w:type="dxa"/>
            <w:vMerge w:val="restart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>Подавление</w:t>
            </w:r>
          </w:p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</w:rPr>
              <w:t xml:space="preserve">сигнала </w:t>
            </w:r>
            <w:r w:rsidRPr="007C490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61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 xml:space="preserve">относительно </w:t>
            </w:r>
            <w:r w:rsidRPr="007C490B">
              <w:rPr>
                <w:sz w:val="18"/>
                <w:szCs w:val="18"/>
                <w:lang w:val="en-US"/>
              </w:rPr>
              <w:t>Y</w:t>
            </w:r>
            <w:r w:rsidRPr="007C490B">
              <w:rPr>
                <w:sz w:val="18"/>
                <w:szCs w:val="18"/>
              </w:rPr>
              <w:t>, дБ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71.2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54.9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34.5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14.6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  <w:lang w:val="en-US"/>
              </w:rPr>
              <w:t>4</w:t>
            </w:r>
            <w:r w:rsidRPr="007C490B">
              <w:rPr>
                <w:sz w:val="18"/>
                <w:szCs w:val="18"/>
              </w:rPr>
              <w:t>.8</w:t>
            </w:r>
          </w:p>
        </w:tc>
      </w:tr>
      <w:tr w:rsidR="00777C73" w:rsidRPr="007C490B" w:rsidTr="00F84B0A">
        <w:trPr>
          <w:trHeight w:val="318"/>
        </w:trPr>
        <w:tc>
          <w:tcPr>
            <w:tcW w:w="1441" w:type="dxa"/>
            <w:vMerge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</w:rPr>
            </w:pPr>
            <w:r w:rsidRPr="007C490B">
              <w:rPr>
                <w:sz w:val="18"/>
                <w:szCs w:val="18"/>
              </w:rPr>
              <w:t xml:space="preserve">относительно </w:t>
            </w:r>
            <w:r w:rsidRPr="007C490B">
              <w:rPr>
                <w:sz w:val="18"/>
                <w:szCs w:val="18"/>
                <w:lang w:val="en-US"/>
              </w:rPr>
              <w:t>Z</w:t>
            </w:r>
            <w:r w:rsidRPr="007C490B">
              <w:rPr>
                <w:sz w:val="18"/>
                <w:szCs w:val="18"/>
              </w:rPr>
              <w:t>, дБ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70.7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54.4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34.0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794" w:type="dxa"/>
            <w:vAlign w:val="center"/>
          </w:tcPr>
          <w:p w:rsidR="00777C73" w:rsidRPr="007C490B" w:rsidRDefault="00777C73" w:rsidP="00F84B0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C490B">
              <w:rPr>
                <w:sz w:val="18"/>
                <w:szCs w:val="18"/>
                <w:lang w:val="en-US"/>
              </w:rPr>
              <w:t>4.3</w:t>
            </w:r>
          </w:p>
        </w:tc>
      </w:tr>
    </w:tbl>
    <w:p w:rsidR="00884917" w:rsidRPr="00C55ACB" w:rsidRDefault="005E1774" w:rsidP="005E1774">
      <w:pPr>
        <w:pStyle w:val="a9"/>
        <w:jc w:val="center"/>
        <w:rPr>
          <w:i/>
        </w:rPr>
      </w:pPr>
      <w:r w:rsidRPr="00C55ACB">
        <w:rPr>
          <w:i/>
        </w:rPr>
        <w:lastRenderedPageBreak/>
        <w:t>Табл.3. Нормированный шаг интегрирования –  0.095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22"/>
        <w:gridCol w:w="1594"/>
        <w:gridCol w:w="779"/>
        <w:gridCol w:w="779"/>
        <w:gridCol w:w="779"/>
        <w:gridCol w:w="779"/>
        <w:gridCol w:w="773"/>
      </w:tblGrid>
      <w:tr w:rsidR="00CC2399" w:rsidTr="005E1774">
        <w:tc>
          <w:tcPr>
            <w:tcW w:w="3055" w:type="dxa"/>
            <w:gridSpan w:val="2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>Отношение сигнал/шум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>-20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>-40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>-60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>-70</w:t>
            </w:r>
          </w:p>
        </w:tc>
      </w:tr>
      <w:tr w:rsidR="00CC2399" w:rsidTr="005E1774">
        <w:trPr>
          <w:trHeight w:val="318"/>
        </w:trPr>
        <w:tc>
          <w:tcPr>
            <w:tcW w:w="1441" w:type="dxa"/>
            <w:vMerge w:val="restart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>Подавление</w:t>
            </w:r>
          </w:p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</w:rPr>
              <w:t xml:space="preserve">сигнала </w:t>
            </w:r>
            <w:r w:rsidRPr="005E177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61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 xml:space="preserve">относительно </w:t>
            </w:r>
            <w:r w:rsidRPr="005E1774">
              <w:rPr>
                <w:sz w:val="18"/>
                <w:szCs w:val="18"/>
                <w:lang w:val="en-US"/>
              </w:rPr>
              <w:t>Y</w:t>
            </w:r>
            <w:r w:rsidRPr="005E1774">
              <w:rPr>
                <w:sz w:val="18"/>
                <w:szCs w:val="18"/>
              </w:rPr>
              <w:t>, дБ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69.7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54.3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4.4</w:t>
            </w:r>
          </w:p>
        </w:tc>
      </w:tr>
      <w:tr w:rsidR="00CC2399" w:rsidTr="005E1774">
        <w:trPr>
          <w:trHeight w:val="318"/>
        </w:trPr>
        <w:tc>
          <w:tcPr>
            <w:tcW w:w="1441" w:type="dxa"/>
            <w:vMerge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</w:rPr>
            </w:pPr>
            <w:r w:rsidRPr="005E1774">
              <w:rPr>
                <w:sz w:val="18"/>
                <w:szCs w:val="18"/>
              </w:rPr>
              <w:t xml:space="preserve">относительно </w:t>
            </w:r>
            <w:r w:rsidRPr="005E1774">
              <w:rPr>
                <w:sz w:val="18"/>
                <w:szCs w:val="18"/>
                <w:lang w:val="en-US"/>
              </w:rPr>
              <w:t>Z</w:t>
            </w:r>
            <w:r w:rsidRPr="005E1774">
              <w:rPr>
                <w:sz w:val="18"/>
                <w:szCs w:val="18"/>
              </w:rPr>
              <w:t>, дБ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69.0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53.5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33.4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13</w:t>
            </w:r>
            <w:r w:rsidRPr="005E1774">
              <w:rPr>
                <w:sz w:val="18"/>
                <w:szCs w:val="18"/>
              </w:rPr>
              <w:t>.</w:t>
            </w:r>
            <w:r w:rsidRPr="005E177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94" w:type="dxa"/>
            <w:vAlign w:val="center"/>
          </w:tcPr>
          <w:p w:rsidR="00CC2399" w:rsidRPr="005E1774" w:rsidRDefault="00CC2399" w:rsidP="005E177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5E1774">
              <w:rPr>
                <w:sz w:val="18"/>
                <w:szCs w:val="18"/>
                <w:lang w:val="en-US"/>
              </w:rPr>
              <w:t>3.8</w:t>
            </w:r>
          </w:p>
        </w:tc>
      </w:tr>
    </w:tbl>
    <w:p w:rsidR="00CC2399" w:rsidRDefault="00410234" w:rsidP="00A25DA9">
      <w:pPr>
        <w:pStyle w:val="a3"/>
      </w:pPr>
      <w:r>
        <w:t>Критерий осуществления</w:t>
      </w:r>
      <w:r w:rsidR="001B0A50">
        <w:t xml:space="preserve"> подавления сигнала</w:t>
      </w:r>
      <w:r>
        <w:t xml:space="preserve"> в канале</w:t>
      </w:r>
      <w:r w:rsidR="001B0A50">
        <w:t xml:space="preserve"> </w:t>
      </w:r>
      <w:r>
        <w:t xml:space="preserve">установлен по превышению уровня отношения СКО в двух каналах в 10 дБ. </w:t>
      </w:r>
      <w:r w:rsidR="0055444B">
        <w:t>Зависимости</w:t>
      </w:r>
      <w:r w:rsidR="00B301F5">
        <w:t xml:space="preserve"> </w:t>
      </w:r>
      <w:r w:rsidR="00F82A52">
        <w:t>минимально</w:t>
      </w:r>
      <w:r w:rsidR="0055444B">
        <w:t xml:space="preserve"> допустимого</w:t>
      </w:r>
      <w:r w:rsidR="00B301F5">
        <w:t xml:space="preserve"> уровня </w:t>
      </w:r>
      <w:r w:rsidR="00F82A52">
        <w:t>сигнала</w:t>
      </w:r>
      <w:r w:rsidR="00B301F5">
        <w:t xml:space="preserve"> при</w:t>
      </w:r>
      <w:r w:rsidR="00CA30B5">
        <w:t xml:space="preserve"> </w:t>
      </w:r>
      <w:r w:rsidR="00B301F5">
        <w:t>вариации нормированного шага</w:t>
      </w:r>
      <w:r w:rsidR="00CA30B5">
        <w:t xml:space="preserve"> интегрирования</w:t>
      </w:r>
      <w:r w:rsidR="00B301F5">
        <w:t xml:space="preserve"> приведены в Табл.4.</w:t>
      </w:r>
    </w:p>
    <w:p w:rsidR="00C55ACB" w:rsidRDefault="00C55ACB" w:rsidP="00C55ACB">
      <w:pPr>
        <w:pStyle w:val="a9"/>
        <w:jc w:val="center"/>
        <w:rPr>
          <w:i/>
        </w:rPr>
      </w:pPr>
      <w:r>
        <w:rPr>
          <w:i/>
        </w:rPr>
        <w:t>Табл.4</w:t>
      </w:r>
      <w:r w:rsidRPr="00C55ACB">
        <w:rPr>
          <w:i/>
        </w:rPr>
        <w:t xml:space="preserve">. </w:t>
      </w:r>
      <w:r w:rsidR="00CF1B93">
        <w:rPr>
          <w:i/>
        </w:rPr>
        <w:t>Вариация шага интегрирования и минимальное отношение сигнал / шум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848"/>
        <w:gridCol w:w="847"/>
        <w:gridCol w:w="847"/>
        <w:gridCol w:w="847"/>
        <w:gridCol w:w="847"/>
      </w:tblGrid>
      <w:tr w:rsidR="00DF181D" w:rsidRPr="00AD5F71" w:rsidTr="00AD5F71">
        <w:trPr>
          <w:jc w:val="center"/>
        </w:trPr>
        <w:tc>
          <w:tcPr>
            <w:tcW w:w="2133" w:type="dxa"/>
            <w:vAlign w:val="center"/>
          </w:tcPr>
          <w:p w:rsidR="00DF181D" w:rsidRPr="00AD5F71" w:rsidRDefault="00D147E2" w:rsidP="00AD5F71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Нормированный </w:t>
            </w:r>
            <w:r w:rsidR="00DF181D" w:rsidRPr="00AD5F71">
              <w:rPr>
                <w:sz w:val="18"/>
              </w:rPr>
              <w:t>шаг интегрирования</w:t>
            </w:r>
          </w:p>
        </w:tc>
        <w:tc>
          <w:tcPr>
            <w:tcW w:w="848" w:type="dxa"/>
            <w:vAlign w:val="center"/>
          </w:tcPr>
          <w:p w:rsidR="00DF181D" w:rsidRPr="00AD5F71" w:rsidRDefault="00DF181D" w:rsidP="00AD5F71">
            <w:pPr>
              <w:pStyle w:val="a4"/>
              <w:jc w:val="center"/>
              <w:rPr>
                <w:sz w:val="18"/>
              </w:rPr>
            </w:pPr>
            <w:r w:rsidRPr="00AD5F71">
              <w:rPr>
                <w:sz w:val="18"/>
              </w:rPr>
              <w:t>0.001</w:t>
            </w:r>
          </w:p>
        </w:tc>
        <w:tc>
          <w:tcPr>
            <w:tcW w:w="847" w:type="dxa"/>
            <w:vAlign w:val="center"/>
          </w:tcPr>
          <w:p w:rsidR="00DF181D" w:rsidRPr="000922D9" w:rsidRDefault="00DF181D" w:rsidP="00AD5F71">
            <w:pPr>
              <w:pStyle w:val="a4"/>
              <w:jc w:val="center"/>
              <w:rPr>
                <w:sz w:val="18"/>
                <w:lang w:val="en-US"/>
              </w:rPr>
            </w:pPr>
            <w:r w:rsidRPr="00AD5F71">
              <w:rPr>
                <w:sz w:val="18"/>
              </w:rPr>
              <w:t>0.04</w:t>
            </w:r>
          </w:p>
        </w:tc>
        <w:tc>
          <w:tcPr>
            <w:tcW w:w="847" w:type="dxa"/>
            <w:vAlign w:val="center"/>
          </w:tcPr>
          <w:p w:rsidR="00DF181D" w:rsidRPr="000922D9" w:rsidRDefault="00DF181D" w:rsidP="00AD5F71">
            <w:pPr>
              <w:pStyle w:val="a4"/>
              <w:jc w:val="center"/>
              <w:rPr>
                <w:sz w:val="18"/>
                <w:lang w:val="en-US"/>
              </w:rPr>
            </w:pPr>
            <w:r w:rsidRPr="00AD5F71">
              <w:rPr>
                <w:sz w:val="18"/>
              </w:rPr>
              <w:t>0.08</w:t>
            </w:r>
          </w:p>
        </w:tc>
        <w:tc>
          <w:tcPr>
            <w:tcW w:w="847" w:type="dxa"/>
            <w:vAlign w:val="center"/>
          </w:tcPr>
          <w:p w:rsidR="00DF181D" w:rsidRPr="000922D9" w:rsidRDefault="00DF181D" w:rsidP="00AD5F71">
            <w:pPr>
              <w:pStyle w:val="a4"/>
              <w:jc w:val="center"/>
              <w:rPr>
                <w:sz w:val="18"/>
                <w:lang w:val="en-US"/>
              </w:rPr>
            </w:pPr>
            <w:r w:rsidRPr="00AD5F71">
              <w:rPr>
                <w:sz w:val="18"/>
              </w:rPr>
              <w:t>0.09</w:t>
            </w:r>
          </w:p>
        </w:tc>
        <w:tc>
          <w:tcPr>
            <w:tcW w:w="847" w:type="dxa"/>
            <w:vAlign w:val="center"/>
          </w:tcPr>
          <w:p w:rsidR="00DF181D" w:rsidRPr="00AD5F71" w:rsidRDefault="00DF181D" w:rsidP="00AD5F71">
            <w:pPr>
              <w:pStyle w:val="a4"/>
              <w:jc w:val="center"/>
              <w:rPr>
                <w:sz w:val="18"/>
              </w:rPr>
            </w:pPr>
            <w:r w:rsidRPr="00AD5F71">
              <w:rPr>
                <w:sz w:val="18"/>
              </w:rPr>
              <w:t>0.095</w:t>
            </w:r>
          </w:p>
        </w:tc>
      </w:tr>
      <w:tr w:rsidR="00DF181D" w:rsidRPr="00AD5F71" w:rsidTr="00AD5F71">
        <w:trPr>
          <w:jc w:val="center"/>
        </w:trPr>
        <w:tc>
          <w:tcPr>
            <w:tcW w:w="2133" w:type="dxa"/>
            <w:vAlign w:val="center"/>
          </w:tcPr>
          <w:p w:rsidR="00DF181D" w:rsidRPr="00AD5F71" w:rsidRDefault="00DF181D" w:rsidP="00F82A52">
            <w:pPr>
              <w:pStyle w:val="a4"/>
              <w:jc w:val="center"/>
              <w:rPr>
                <w:sz w:val="18"/>
              </w:rPr>
            </w:pPr>
            <w:r w:rsidRPr="00AD5F71">
              <w:rPr>
                <w:sz w:val="18"/>
              </w:rPr>
              <w:t>М</w:t>
            </w:r>
            <w:r w:rsidR="00F82A52">
              <w:rPr>
                <w:sz w:val="18"/>
              </w:rPr>
              <w:t>ин</w:t>
            </w:r>
            <w:r w:rsidRPr="00AD5F71">
              <w:rPr>
                <w:sz w:val="18"/>
              </w:rPr>
              <w:t xml:space="preserve">. уровень </w:t>
            </w:r>
            <w:r w:rsidR="00F82A52">
              <w:rPr>
                <w:sz w:val="18"/>
              </w:rPr>
              <w:t>сигнала</w:t>
            </w:r>
          </w:p>
        </w:tc>
        <w:tc>
          <w:tcPr>
            <w:tcW w:w="848" w:type="dxa"/>
            <w:vAlign w:val="center"/>
          </w:tcPr>
          <w:p w:rsidR="00DF181D" w:rsidRPr="00AD5F71" w:rsidRDefault="00AD5F71" w:rsidP="00AD5F71">
            <w:pPr>
              <w:pStyle w:val="a4"/>
              <w:jc w:val="center"/>
              <w:rPr>
                <w:sz w:val="18"/>
              </w:rPr>
            </w:pPr>
            <w:r w:rsidRPr="00AD5F71">
              <w:rPr>
                <w:sz w:val="18"/>
              </w:rPr>
              <w:t>-80</w:t>
            </w:r>
          </w:p>
        </w:tc>
        <w:tc>
          <w:tcPr>
            <w:tcW w:w="847" w:type="dxa"/>
            <w:vAlign w:val="center"/>
          </w:tcPr>
          <w:p w:rsidR="00DF181D" w:rsidRPr="00AD5F71" w:rsidRDefault="00AD5F71" w:rsidP="00AD5F71">
            <w:pPr>
              <w:pStyle w:val="a4"/>
              <w:jc w:val="center"/>
              <w:rPr>
                <w:sz w:val="18"/>
              </w:rPr>
            </w:pPr>
            <w:r w:rsidRPr="00AD5F71">
              <w:rPr>
                <w:sz w:val="18"/>
              </w:rPr>
              <w:t>-75</w:t>
            </w:r>
          </w:p>
        </w:tc>
        <w:tc>
          <w:tcPr>
            <w:tcW w:w="847" w:type="dxa"/>
            <w:vAlign w:val="center"/>
          </w:tcPr>
          <w:p w:rsidR="00DF181D" w:rsidRPr="00AD5F71" w:rsidRDefault="00AD5F71" w:rsidP="00AD5F71">
            <w:pPr>
              <w:pStyle w:val="a4"/>
              <w:jc w:val="center"/>
              <w:rPr>
                <w:sz w:val="18"/>
              </w:rPr>
            </w:pPr>
            <w:r w:rsidRPr="00AD5F71">
              <w:rPr>
                <w:sz w:val="18"/>
              </w:rPr>
              <w:t>-60</w:t>
            </w:r>
          </w:p>
        </w:tc>
        <w:tc>
          <w:tcPr>
            <w:tcW w:w="847" w:type="dxa"/>
            <w:vAlign w:val="center"/>
          </w:tcPr>
          <w:p w:rsidR="00DF181D" w:rsidRPr="00AD5F71" w:rsidRDefault="00AD5F71" w:rsidP="00AD5F71">
            <w:pPr>
              <w:pStyle w:val="a4"/>
              <w:jc w:val="center"/>
              <w:rPr>
                <w:sz w:val="18"/>
              </w:rPr>
            </w:pPr>
            <w:r w:rsidRPr="00AD5F71">
              <w:rPr>
                <w:sz w:val="18"/>
              </w:rPr>
              <w:t>-60</w:t>
            </w:r>
          </w:p>
        </w:tc>
        <w:tc>
          <w:tcPr>
            <w:tcW w:w="847" w:type="dxa"/>
            <w:vAlign w:val="center"/>
          </w:tcPr>
          <w:p w:rsidR="00DF181D" w:rsidRPr="00AD5F71" w:rsidRDefault="00AD5F71" w:rsidP="00AD5F71">
            <w:pPr>
              <w:pStyle w:val="a4"/>
              <w:jc w:val="center"/>
              <w:rPr>
                <w:sz w:val="18"/>
              </w:rPr>
            </w:pPr>
            <w:r w:rsidRPr="00AD5F71">
              <w:rPr>
                <w:sz w:val="18"/>
              </w:rPr>
              <w:t>-60</w:t>
            </w:r>
          </w:p>
        </w:tc>
      </w:tr>
    </w:tbl>
    <w:p w:rsidR="000A688A" w:rsidRDefault="00F003A2" w:rsidP="00780151">
      <w:pPr>
        <w:pStyle w:val="a3"/>
      </w:pPr>
      <w:r>
        <w:t>Согласно данным Табл.4 уменьшение величины нормированного шага интегрирования при численном решении системы уравнений, описывающих динамическую систему с заданными параметрами</w:t>
      </w:r>
      <w:r w:rsidR="00D272B1">
        <w:t xml:space="preserve">, снижает минимально допустимый уровень хаотического сигнала в канале. </w:t>
      </w:r>
    </w:p>
    <w:p w:rsidR="00A901BD" w:rsidRPr="009E3CCD" w:rsidRDefault="00E774FD" w:rsidP="00A901BD">
      <w:pPr>
        <w:pStyle w:val="a3"/>
        <w:rPr>
          <w:b/>
          <w:color w:val="0070C0"/>
        </w:rPr>
      </w:pPr>
      <w:r>
        <w:t>При уменьшении шага с 0.09 до 0.001</w:t>
      </w:r>
      <w:r w:rsidRPr="009E3CCD">
        <w:rPr>
          <w:color w:val="FF0000"/>
        </w:rPr>
        <w:t xml:space="preserve"> </w:t>
      </w:r>
      <w:r>
        <w:t xml:space="preserve">требуемый уровень сигнала по отношению к уровню шума снижается на 20 дБ. </w:t>
      </w:r>
      <w:r w:rsidR="006A1832">
        <w:t>При величине шага от 0.001 до 0.09 возможно осуществление селективного подавления сигнал</w:t>
      </w:r>
      <w:r w:rsidR="008F3761">
        <w:t>ов дискретно-нелинейной системы, сформированных при численном решении системы методом Эйлера.</w:t>
      </w:r>
      <w:r w:rsidR="00E6337A">
        <w:t xml:space="preserve"> Максимально допустимый нормированный шаг интегрирования </w:t>
      </w:r>
      <w:r w:rsidR="00300395">
        <w:t xml:space="preserve">составляет </w:t>
      </w:r>
      <w:r w:rsidR="000922D9">
        <w:t>0.09</w:t>
      </w:r>
      <w:r w:rsidR="00B55388">
        <w:t>.</w:t>
      </w:r>
      <w:r w:rsidR="00755FBE">
        <w:t xml:space="preserve"> </w:t>
      </w:r>
      <w:r w:rsidR="00881DFD">
        <w:t>При увеличении шага до 0.1 в спектре проявляются отдельные частотные компоненты, при шаге 0.2 происходит переход к многочастотному режиму системы.  И</w:t>
      </w:r>
      <w:r w:rsidR="00AF66C9">
        <w:t>спользование</w:t>
      </w:r>
      <w:r w:rsidR="00300395" w:rsidRPr="00300395">
        <w:t xml:space="preserve"> </w:t>
      </w:r>
      <w:r w:rsidR="00300395">
        <w:t>при численном решении</w:t>
      </w:r>
      <w:r w:rsidR="00A901BD">
        <w:t xml:space="preserve"> метода Рунге-Кутты 4-го порядка </w:t>
      </w:r>
      <w:r w:rsidR="00AF66C9">
        <w:t>позволяет увеличить величину максимально допустимого</w:t>
      </w:r>
      <w:r w:rsidR="00A901BD">
        <w:t xml:space="preserve"> шаг</w:t>
      </w:r>
      <w:r w:rsidR="00AF66C9">
        <w:t>а</w:t>
      </w:r>
      <w:r w:rsidR="00A901BD">
        <w:t xml:space="preserve"> интегрирования</w:t>
      </w:r>
      <w:r w:rsidR="00323A9C">
        <w:t xml:space="preserve"> </w:t>
      </w:r>
      <w:r w:rsidR="00AF66C9">
        <w:t>до</w:t>
      </w:r>
      <w:r w:rsidR="00A901BD">
        <w:t xml:space="preserve"> 0.3</w:t>
      </w:r>
      <w:r w:rsidR="00A901BD" w:rsidRPr="009E3CCD">
        <w:rPr>
          <w:color w:val="FF0000"/>
          <w:sz w:val="16"/>
          <w:szCs w:val="16"/>
        </w:rPr>
        <w:t xml:space="preserve"> </w:t>
      </w:r>
      <w:r w:rsidR="00A901BD" w:rsidRPr="00591F5A">
        <w:t>[1].</w:t>
      </w:r>
      <w:r w:rsidR="00A901BD">
        <w:t xml:space="preserve"> </w:t>
      </w:r>
    </w:p>
    <w:p w:rsidR="00755FBE" w:rsidRPr="009E3CCD" w:rsidRDefault="00E774FD" w:rsidP="00780151">
      <w:pPr>
        <w:pStyle w:val="a3"/>
        <w:rPr>
          <w:b/>
          <w:color w:val="0070C0"/>
        </w:rPr>
      </w:pPr>
      <w:r>
        <w:t>Установлено, что для эк</w:t>
      </w:r>
      <w:r w:rsidR="00323A9C">
        <w:t>ономии вычислительных ресурсов</w:t>
      </w:r>
      <w:r w:rsidR="00881DFD">
        <w:t xml:space="preserve"> для численного решения системы уравнений</w:t>
      </w:r>
      <w:r w:rsidR="00323A9C">
        <w:t xml:space="preserve"> может быть </w:t>
      </w:r>
      <w:r w:rsidR="00881DFD">
        <w:t>применён метод</w:t>
      </w:r>
      <w:r>
        <w:t xml:space="preserve"> Эйлера</w:t>
      </w:r>
      <w:r w:rsidR="00323A9C">
        <w:t>.</w:t>
      </w:r>
      <w:r>
        <w:t xml:space="preserve"> </w:t>
      </w:r>
      <w:r w:rsidR="00323A9C">
        <w:t>Величину нормированного</w:t>
      </w:r>
      <w:r>
        <w:t xml:space="preserve"> шаг</w:t>
      </w:r>
      <w:r w:rsidR="00323A9C">
        <w:t>а</w:t>
      </w:r>
      <w:r>
        <w:t xml:space="preserve"> ин</w:t>
      </w:r>
      <w:r w:rsidR="004C18CC">
        <w:t xml:space="preserve">тегрирования </w:t>
      </w:r>
      <w:r w:rsidR="00323A9C">
        <w:t>следует выбирать</w:t>
      </w:r>
      <w:r w:rsidR="004C18CC">
        <w:t xml:space="preserve"> из диапазона от 0.001 до 0.09</w:t>
      </w:r>
      <w:r w:rsidR="009809BF">
        <w:t>, при этом</w:t>
      </w:r>
      <w:r w:rsidR="004C18CC">
        <w:t xml:space="preserve"> </w:t>
      </w:r>
      <w:r w:rsidR="0007321A">
        <w:t>спектральные характеристики формируемых сигналов сохраняются,</w:t>
      </w:r>
      <w:r w:rsidR="004C18CC">
        <w:t xml:space="preserve"> </w:t>
      </w:r>
      <w:r w:rsidR="0007321A">
        <w:t>селективное подавление может быть произведено</w:t>
      </w:r>
      <w:r w:rsidR="00CF1B93">
        <w:t>.</w:t>
      </w:r>
      <w:r w:rsidR="00082ACB">
        <w:t xml:space="preserve"> </w:t>
      </w:r>
    </w:p>
    <w:p w:rsidR="00755FBE" w:rsidRDefault="00591F5A" w:rsidP="00591F5A">
      <w:pPr>
        <w:pStyle w:val="41"/>
        <w:ind w:firstLine="0"/>
        <w:jc w:val="center"/>
      </w:pPr>
      <w:r>
        <w:rPr>
          <w:b/>
          <w:sz w:val="20"/>
        </w:rPr>
        <w:t>Список литературы</w:t>
      </w:r>
    </w:p>
    <w:p w:rsidR="00591F5A" w:rsidRPr="009E3CCD" w:rsidRDefault="00591F5A" w:rsidP="00D33909">
      <w:pPr>
        <w:pStyle w:val="a3"/>
        <w:rPr>
          <w:rFonts w:eastAsia="Calibri"/>
          <w:b/>
          <w:i/>
          <w:color w:val="FF0000"/>
          <w:sz w:val="18"/>
          <w:szCs w:val="18"/>
        </w:rPr>
      </w:pPr>
      <w:r>
        <w:rPr>
          <w:sz w:val="18"/>
        </w:rPr>
        <w:t xml:space="preserve">1. </w:t>
      </w:r>
      <w:r w:rsidR="00755FBE" w:rsidRPr="00591F5A">
        <w:rPr>
          <w:i/>
          <w:sz w:val="18"/>
        </w:rPr>
        <w:t>Давыдов В.Г., Афанасьев В.В.</w:t>
      </w:r>
      <w:r w:rsidR="00755FBE" w:rsidRPr="00591F5A">
        <w:rPr>
          <w:sz w:val="18"/>
        </w:rPr>
        <w:t xml:space="preserve"> Влияние шумов на селективное </w:t>
      </w:r>
      <w:proofErr w:type="spellStart"/>
      <w:r w:rsidR="00755FBE" w:rsidRPr="00591F5A">
        <w:rPr>
          <w:sz w:val="18"/>
        </w:rPr>
        <w:t>режектирование</w:t>
      </w:r>
      <w:proofErr w:type="spellEnd"/>
      <w:r w:rsidR="00755FBE" w:rsidRPr="00591F5A">
        <w:rPr>
          <w:sz w:val="18"/>
        </w:rPr>
        <w:t xml:space="preserve"> сигналов динамической системы Дмитриева-Кислова с хаотической динамикой // Актуальные проблемы радиоэлектроники и телекоммуникаций: А43 материалы Всероссийской научно-технической конференции (</w:t>
      </w:r>
      <w:proofErr w:type="spellStart"/>
      <w:r w:rsidR="00755FBE" w:rsidRPr="00591F5A">
        <w:rPr>
          <w:sz w:val="18"/>
        </w:rPr>
        <w:t>г.Самара</w:t>
      </w:r>
      <w:proofErr w:type="spellEnd"/>
      <w:r w:rsidR="00755FBE" w:rsidRPr="00591F5A">
        <w:rPr>
          <w:sz w:val="18"/>
        </w:rPr>
        <w:t xml:space="preserve"> 21 -23 апреля 2020 г.). Самара, 21 -23 апреля 2020 г /Под. ред. А.И. Данилина –  Самарский национальный исследовательский университет имени академика С.П. </w:t>
      </w:r>
      <w:proofErr w:type="spellStart"/>
      <w:r w:rsidR="00755FBE" w:rsidRPr="00591F5A">
        <w:rPr>
          <w:sz w:val="18"/>
        </w:rPr>
        <w:t>Королѐва</w:t>
      </w:r>
      <w:proofErr w:type="spellEnd"/>
      <w:r w:rsidR="00755FBE" w:rsidRPr="00591F5A">
        <w:rPr>
          <w:sz w:val="18"/>
        </w:rPr>
        <w:t xml:space="preserve">. Самара: Вектор, 2020. С.53– 55. </w:t>
      </w:r>
      <w:r w:rsidR="00D33909">
        <w:rPr>
          <w:sz w:val="18"/>
          <w:lang w:val="en-US"/>
        </w:rPr>
        <w:tab/>
      </w:r>
      <w:r w:rsidR="00D33909">
        <w:rPr>
          <w:sz w:val="18"/>
          <w:lang w:val="en-US"/>
        </w:rPr>
        <w:tab/>
      </w:r>
      <w:r w:rsidR="00D33909">
        <w:rPr>
          <w:sz w:val="18"/>
          <w:lang w:val="en-US"/>
        </w:rPr>
        <w:tab/>
        <w:t xml:space="preserve">,      </w:t>
      </w:r>
    </w:p>
    <w:sectPr w:rsidR="00591F5A" w:rsidRPr="009E3CCD" w:rsidSect="00367DAE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19"/>
    <w:rsid w:val="000115BE"/>
    <w:rsid w:val="000459D7"/>
    <w:rsid w:val="00055F31"/>
    <w:rsid w:val="0007321A"/>
    <w:rsid w:val="00074818"/>
    <w:rsid w:val="00082ACB"/>
    <w:rsid w:val="00084A93"/>
    <w:rsid w:val="000922D9"/>
    <w:rsid w:val="000A688A"/>
    <w:rsid w:val="000E493E"/>
    <w:rsid w:val="000E4971"/>
    <w:rsid w:val="000F15CB"/>
    <w:rsid w:val="001555E5"/>
    <w:rsid w:val="001B0A50"/>
    <w:rsid w:val="001B7FCE"/>
    <w:rsid w:val="001E1975"/>
    <w:rsid w:val="002010AF"/>
    <w:rsid w:val="00202EB5"/>
    <w:rsid w:val="00206ED3"/>
    <w:rsid w:val="0021077E"/>
    <w:rsid w:val="0024634E"/>
    <w:rsid w:val="00263911"/>
    <w:rsid w:val="002D1B14"/>
    <w:rsid w:val="002E0E72"/>
    <w:rsid w:val="002E1D68"/>
    <w:rsid w:val="00300395"/>
    <w:rsid w:val="00302E03"/>
    <w:rsid w:val="00323A9C"/>
    <w:rsid w:val="00335ED6"/>
    <w:rsid w:val="00351E7E"/>
    <w:rsid w:val="00367273"/>
    <w:rsid w:val="00367DAE"/>
    <w:rsid w:val="00395C17"/>
    <w:rsid w:val="00410234"/>
    <w:rsid w:val="00434277"/>
    <w:rsid w:val="004543A5"/>
    <w:rsid w:val="004B60D4"/>
    <w:rsid w:val="004C18CC"/>
    <w:rsid w:val="004D2C60"/>
    <w:rsid w:val="004E1ACC"/>
    <w:rsid w:val="004F77C0"/>
    <w:rsid w:val="0055444B"/>
    <w:rsid w:val="00591F5A"/>
    <w:rsid w:val="005B28F5"/>
    <w:rsid w:val="005E1774"/>
    <w:rsid w:val="006302EC"/>
    <w:rsid w:val="006944E1"/>
    <w:rsid w:val="006A1832"/>
    <w:rsid w:val="006A1FDC"/>
    <w:rsid w:val="006D05B9"/>
    <w:rsid w:val="006F6519"/>
    <w:rsid w:val="00755FBE"/>
    <w:rsid w:val="00777C73"/>
    <w:rsid w:val="00780151"/>
    <w:rsid w:val="007C490B"/>
    <w:rsid w:val="007D12A4"/>
    <w:rsid w:val="008150C2"/>
    <w:rsid w:val="00881DFD"/>
    <w:rsid w:val="00884917"/>
    <w:rsid w:val="008A2F11"/>
    <w:rsid w:val="008D5270"/>
    <w:rsid w:val="008D7CA8"/>
    <w:rsid w:val="008F3761"/>
    <w:rsid w:val="008F6DE2"/>
    <w:rsid w:val="0091405E"/>
    <w:rsid w:val="00932681"/>
    <w:rsid w:val="0093484D"/>
    <w:rsid w:val="009809BF"/>
    <w:rsid w:val="009A7459"/>
    <w:rsid w:val="009D031F"/>
    <w:rsid w:val="009E3CCD"/>
    <w:rsid w:val="009F17CC"/>
    <w:rsid w:val="00A01AD9"/>
    <w:rsid w:val="00A25DA9"/>
    <w:rsid w:val="00A460D0"/>
    <w:rsid w:val="00A53AE5"/>
    <w:rsid w:val="00A6514A"/>
    <w:rsid w:val="00A73180"/>
    <w:rsid w:val="00A901BD"/>
    <w:rsid w:val="00A93E0A"/>
    <w:rsid w:val="00AA5E38"/>
    <w:rsid w:val="00AD2A06"/>
    <w:rsid w:val="00AD5F71"/>
    <w:rsid w:val="00AD7B7E"/>
    <w:rsid w:val="00AF66C9"/>
    <w:rsid w:val="00AF79C2"/>
    <w:rsid w:val="00B07075"/>
    <w:rsid w:val="00B301F5"/>
    <w:rsid w:val="00B37CC0"/>
    <w:rsid w:val="00B55388"/>
    <w:rsid w:val="00C11489"/>
    <w:rsid w:val="00C26F22"/>
    <w:rsid w:val="00C55ACB"/>
    <w:rsid w:val="00C60C0C"/>
    <w:rsid w:val="00C7067D"/>
    <w:rsid w:val="00C80F12"/>
    <w:rsid w:val="00CA30B5"/>
    <w:rsid w:val="00CA5495"/>
    <w:rsid w:val="00CC2399"/>
    <w:rsid w:val="00CC5FCF"/>
    <w:rsid w:val="00CF1B93"/>
    <w:rsid w:val="00D147E2"/>
    <w:rsid w:val="00D272B1"/>
    <w:rsid w:val="00D33909"/>
    <w:rsid w:val="00D35B9F"/>
    <w:rsid w:val="00D41E25"/>
    <w:rsid w:val="00D61E37"/>
    <w:rsid w:val="00D800F1"/>
    <w:rsid w:val="00D96277"/>
    <w:rsid w:val="00D97A91"/>
    <w:rsid w:val="00DF181D"/>
    <w:rsid w:val="00DF5E4D"/>
    <w:rsid w:val="00E6337A"/>
    <w:rsid w:val="00E7271A"/>
    <w:rsid w:val="00E774FD"/>
    <w:rsid w:val="00E83854"/>
    <w:rsid w:val="00EB1998"/>
    <w:rsid w:val="00EB4E0A"/>
    <w:rsid w:val="00ED4D8F"/>
    <w:rsid w:val="00EE7DFE"/>
    <w:rsid w:val="00EF0856"/>
    <w:rsid w:val="00F003A2"/>
    <w:rsid w:val="00F5075B"/>
    <w:rsid w:val="00F52B3E"/>
    <w:rsid w:val="00F6257E"/>
    <w:rsid w:val="00F82A52"/>
    <w:rsid w:val="00F84B0A"/>
    <w:rsid w:val="00F9300E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9973"/>
  <w15:docId w15:val="{6B3A5D14-2800-4DAF-A37F-0C5F8577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367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367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пись рис."/>
    <w:basedOn w:val="a"/>
    <w:next w:val="a"/>
    <w:link w:val="30"/>
    <w:uiPriority w:val="9"/>
    <w:semiHidden/>
    <w:unhideWhenUsed/>
    <w:qFormat/>
    <w:rsid w:val="00367273"/>
    <w:pPr>
      <w:keepNext/>
      <w:keepLines/>
      <w:spacing w:line="240" w:lineRule="auto"/>
      <w:jc w:val="center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273"/>
    <w:pPr>
      <w:keepNext/>
      <w:keepLines/>
      <w:spacing w:before="20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УРОВЕНЬ 4"/>
    <w:basedOn w:val="4"/>
    <w:next w:val="a"/>
    <w:qFormat/>
    <w:rsid w:val="00367273"/>
    <w:pPr>
      <w:spacing w:before="0" w:after="200"/>
    </w:pPr>
    <w:rPr>
      <w:rFonts w:ascii="Times New Roman" w:hAnsi="Times New Roman"/>
      <w:b w:val="0"/>
      <w:i w:val="0"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36727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11">
    <w:name w:val="УРОВЕНЬ 1"/>
    <w:basedOn w:val="1"/>
    <w:qFormat/>
    <w:rsid w:val="00367273"/>
    <w:pPr>
      <w:spacing w:before="200" w:after="200" w:line="360" w:lineRule="auto"/>
      <w:jc w:val="center"/>
    </w:pPr>
    <w:rPr>
      <w:rFonts w:ascii="Times New Roman" w:eastAsia="Times New Roman" w:hAnsi="Times New Roman"/>
      <w:color w:val="000000" w:themeColor="text1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УРОВЕНЬ 2"/>
    <w:basedOn w:val="2"/>
    <w:qFormat/>
    <w:rsid w:val="00367273"/>
    <w:pPr>
      <w:spacing w:line="360" w:lineRule="auto"/>
      <w:ind w:firstLine="709"/>
      <w:jc w:val="both"/>
    </w:pPr>
    <w:rPr>
      <w:rFonts w:ascii="Times New Roman" w:eastAsia="Times New Roman" w:hAnsi="Times New Roman"/>
      <w:b w:val="0"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УРОВЕНЬ 3"/>
    <w:basedOn w:val="3"/>
    <w:qFormat/>
    <w:rsid w:val="00AA5E38"/>
    <w:pPr>
      <w:ind w:firstLine="397"/>
      <w:contextualSpacing/>
      <w:jc w:val="both"/>
    </w:pPr>
    <w:rPr>
      <w:rFonts w:eastAsia="Times New Roman"/>
      <w:i/>
      <w:sz w:val="18"/>
    </w:rPr>
  </w:style>
  <w:style w:type="character" w:customStyle="1" w:styleId="30">
    <w:name w:val="Заголовок 3 Знак"/>
    <w:aliases w:val="Подпись рис. Знак"/>
    <w:basedOn w:val="a0"/>
    <w:link w:val="3"/>
    <w:uiPriority w:val="9"/>
    <w:semiHidden/>
    <w:rsid w:val="00367273"/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customStyle="1" w:styleId="a3">
    <w:name w:val="ОБЫЧНЫЙ"/>
    <w:basedOn w:val="a"/>
    <w:qFormat/>
    <w:rsid w:val="00AD7B7E"/>
    <w:pPr>
      <w:spacing w:line="240" w:lineRule="auto"/>
      <w:ind w:firstLine="397"/>
      <w:contextualSpacing/>
      <w:jc w:val="both"/>
    </w:pPr>
    <w:rPr>
      <w:rFonts w:ascii="Times New Roman" w:hAnsi="Times New Roman"/>
      <w:sz w:val="20"/>
    </w:rPr>
  </w:style>
  <w:style w:type="paragraph" w:customStyle="1" w:styleId="a4">
    <w:name w:val="БЕЗ ИНТЕРВАЛА"/>
    <w:basedOn w:val="a5"/>
    <w:qFormat/>
    <w:rsid w:val="00367273"/>
    <w:pPr>
      <w:jc w:val="both"/>
    </w:pPr>
    <w:rPr>
      <w:rFonts w:ascii="Times New Roman" w:hAnsi="Times New Roman"/>
      <w:sz w:val="28"/>
    </w:rPr>
  </w:style>
  <w:style w:type="paragraph" w:styleId="a5">
    <w:name w:val="No Spacing"/>
    <w:uiPriority w:val="1"/>
    <w:rsid w:val="00367273"/>
    <w:pPr>
      <w:spacing w:after="0" w:line="240" w:lineRule="auto"/>
    </w:pPr>
  </w:style>
  <w:style w:type="paragraph" w:customStyle="1" w:styleId="a6">
    <w:name w:val="Подрисуночная подпись"/>
    <w:basedOn w:val="a7"/>
    <w:qFormat/>
    <w:rsid w:val="00367273"/>
    <w:pPr>
      <w:spacing w:before="120" w:after="120" w:line="240" w:lineRule="auto"/>
      <w:jc w:val="center"/>
    </w:pPr>
    <w:rPr>
      <w:rFonts w:ascii="Times New Roman" w:hAnsi="Times New Roman"/>
      <w:i w:val="0"/>
      <w:color w:val="000000" w:themeColor="text1"/>
      <w:spacing w:val="0"/>
    </w:rPr>
  </w:style>
  <w:style w:type="paragraph" w:styleId="a7">
    <w:name w:val="Subtitle"/>
    <w:basedOn w:val="a"/>
    <w:next w:val="a"/>
    <w:link w:val="a8"/>
    <w:uiPriority w:val="11"/>
    <w:rsid w:val="00367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67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УРОВЕНЬ 5"/>
    <w:basedOn w:val="41"/>
    <w:qFormat/>
    <w:rsid w:val="007D12A4"/>
    <w:pPr>
      <w:spacing w:after="120" w:line="240" w:lineRule="auto"/>
      <w:outlineLvl w:val="4"/>
    </w:pPr>
    <w:rPr>
      <w:lang w:eastAsia="ru-RU"/>
    </w:rPr>
  </w:style>
  <w:style w:type="paragraph" w:customStyle="1" w:styleId="a9">
    <w:name w:val="Табличные элементы"/>
    <w:basedOn w:val="a"/>
    <w:next w:val="a4"/>
    <w:qFormat/>
    <w:rsid w:val="00884917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A6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14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2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OdmenPC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Odmen</dc:creator>
  <cp:lastModifiedBy>admin</cp:lastModifiedBy>
  <cp:revision>7</cp:revision>
  <dcterms:created xsi:type="dcterms:W3CDTF">2020-10-13T01:46:00Z</dcterms:created>
  <dcterms:modified xsi:type="dcterms:W3CDTF">2020-10-15T09:52:00Z</dcterms:modified>
</cp:coreProperties>
</file>