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9" w:rsidRPr="00737BA5" w:rsidRDefault="00A00D09" w:rsidP="00A00D09">
      <w:pPr>
        <w:widowControl w:val="0"/>
        <w:spacing w:line="233" w:lineRule="auto"/>
        <w:ind w:firstLine="0"/>
        <w:rPr>
          <w:rFonts w:ascii="Times New Roman" w:hAnsi="Times New Roman"/>
          <w:caps/>
          <w:sz w:val="20"/>
        </w:rPr>
      </w:pPr>
      <w:r w:rsidRPr="00737BA5">
        <w:rPr>
          <w:rFonts w:ascii="Times New Roman" w:hAnsi="Times New Roman"/>
          <w:caps/>
          <w:sz w:val="20"/>
        </w:rPr>
        <w:t>УДК 621.3</w:t>
      </w:r>
    </w:p>
    <w:p w:rsidR="00A00D09" w:rsidRPr="00737BA5" w:rsidRDefault="00A00D09" w:rsidP="00F86E2B">
      <w:pPr>
        <w:widowControl w:val="0"/>
        <w:spacing w:line="233" w:lineRule="auto"/>
        <w:ind w:firstLine="0"/>
        <w:jc w:val="center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М.</w:t>
      </w:r>
      <w:r w:rsidR="00E94430" w:rsidRPr="00737BA5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>В. Ярославцев</w:t>
      </w:r>
    </w:p>
    <w:p w:rsidR="00A00D09" w:rsidRPr="00737BA5" w:rsidRDefault="0069619A" w:rsidP="00F86E2B">
      <w:pPr>
        <w:widowControl w:val="0"/>
        <w:spacing w:line="233" w:lineRule="auto"/>
        <w:ind w:firstLine="0"/>
        <w:jc w:val="center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 xml:space="preserve">(г. </w:t>
      </w:r>
      <w:r w:rsidR="00A00D09" w:rsidRPr="00737BA5">
        <w:rPr>
          <w:rFonts w:ascii="Times New Roman" w:hAnsi="Times New Roman"/>
          <w:sz w:val="20"/>
        </w:rPr>
        <w:t xml:space="preserve">Новосибирск, </w:t>
      </w:r>
      <w:r w:rsidRPr="00737BA5">
        <w:rPr>
          <w:rFonts w:ascii="Times New Roman" w:hAnsi="Times New Roman"/>
          <w:sz w:val="20"/>
        </w:rPr>
        <w:t xml:space="preserve">ФГБОУ </w:t>
      </w:r>
      <w:proofErr w:type="gramStart"/>
      <w:r w:rsidRPr="00737BA5">
        <w:rPr>
          <w:rFonts w:ascii="Times New Roman" w:hAnsi="Times New Roman"/>
          <w:sz w:val="20"/>
        </w:rPr>
        <w:t>ВО</w:t>
      </w:r>
      <w:proofErr w:type="gramEnd"/>
      <w:r w:rsidRPr="00737BA5">
        <w:rPr>
          <w:rFonts w:ascii="Times New Roman" w:hAnsi="Times New Roman"/>
          <w:sz w:val="20"/>
        </w:rPr>
        <w:t xml:space="preserve"> </w:t>
      </w:r>
      <w:r w:rsidR="00A00D09" w:rsidRPr="00737BA5">
        <w:rPr>
          <w:rFonts w:ascii="Times New Roman" w:hAnsi="Times New Roman"/>
          <w:sz w:val="20"/>
        </w:rPr>
        <w:t>Н</w:t>
      </w:r>
      <w:r w:rsidRPr="00737BA5">
        <w:rPr>
          <w:rFonts w:ascii="Times New Roman" w:hAnsi="Times New Roman"/>
          <w:sz w:val="20"/>
        </w:rPr>
        <w:t>овосибирский государственный технич</w:t>
      </w:r>
      <w:r w:rsidRPr="00737BA5">
        <w:rPr>
          <w:rFonts w:ascii="Times New Roman" w:hAnsi="Times New Roman"/>
          <w:sz w:val="20"/>
        </w:rPr>
        <w:t>е</w:t>
      </w:r>
      <w:r w:rsidRPr="00737BA5">
        <w:rPr>
          <w:rFonts w:ascii="Times New Roman" w:hAnsi="Times New Roman"/>
          <w:sz w:val="20"/>
        </w:rPr>
        <w:t>ский университет</w:t>
      </w:r>
      <w:r w:rsidR="00A00D09" w:rsidRPr="00737BA5">
        <w:rPr>
          <w:rFonts w:ascii="Times New Roman" w:hAnsi="Times New Roman"/>
          <w:sz w:val="20"/>
        </w:rPr>
        <w:t>)</w:t>
      </w:r>
    </w:p>
    <w:p w:rsidR="00A00D09" w:rsidRPr="00737BA5" w:rsidRDefault="00A00D09" w:rsidP="00A00D09">
      <w:pPr>
        <w:widowControl w:val="0"/>
        <w:spacing w:line="233" w:lineRule="auto"/>
        <w:rPr>
          <w:rFonts w:ascii="Times New Roman" w:hAnsi="Times New Roman"/>
          <w:sz w:val="20"/>
        </w:rPr>
      </w:pPr>
    </w:p>
    <w:p w:rsidR="00CD2767" w:rsidRPr="00737BA5" w:rsidRDefault="00CD2767" w:rsidP="00CD2767">
      <w:pPr>
        <w:widowControl w:val="0"/>
        <w:spacing w:line="233" w:lineRule="auto"/>
        <w:jc w:val="center"/>
        <w:rPr>
          <w:rFonts w:ascii="Times New Roman" w:hAnsi="Times New Roman"/>
          <w:b/>
          <w:sz w:val="20"/>
        </w:rPr>
      </w:pPr>
      <w:r w:rsidRPr="00737BA5">
        <w:rPr>
          <w:rFonts w:ascii="Times New Roman" w:hAnsi="Times New Roman"/>
          <w:b/>
          <w:sz w:val="20"/>
        </w:rPr>
        <w:t xml:space="preserve">РАСЧЕТ ТЯГОВЫХ СЕТЕЙ </w:t>
      </w:r>
      <w:r w:rsidRPr="00737BA5">
        <w:rPr>
          <w:rFonts w:ascii="Times New Roman" w:hAnsi="Times New Roman"/>
          <w:b/>
          <w:sz w:val="20"/>
        </w:rPr>
        <w:br/>
        <w:t xml:space="preserve">ГОРОДСКОГО ЭЛЕКТРИЧЕСКОГО ТРАНСПОРТА </w:t>
      </w:r>
      <w:r w:rsidRPr="00737BA5">
        <w:rPr>
          <w:rFonts w:ascii="Times New Roman" w:hAnsi="Times New Roman"/>
          <w:b/>
          <w:sz w:val="20"/>
        </w:rPr>
        <w:br/>
        <w:t>СО СТАЦИОНАРНЫМИ НАКОПИТЕЛЯМИ ЭНЕ</w:t>
      </w:r>
      <w:r w:rsidRPr="00737BA5">
        <w:rPr>
          <w:rFonts w:ascii="Times New Roman" w:hAnsi="Times New Roman"/>
          <w:b/>
          <w:sz w:val="20"/>
        </w:rPr>
        <w:t>Р</w:t>
      </w:r>
      <w:r w:rsidRPr="00737BA5">
        <w:rPr>
          <w:rFonts w:ascii="Times New Roman" w:hAnsi="Times New Roman"/>
          <w:b/>
          <w:sz w:val="20"/>
        </w:rPr>
        <w:t>ГИИ</w:t>
      </w:r>
    </w:p>
    <w:p w:rsidR="00CD2767" w:rsidRPr="00737BA5" w:rsidRDefault="00CD2767" w:rsidP="00A00D09">
      <w:pPr>
        <w:widowControl w:val="0"/>
        <w:spacing w:line="233" w:lineRule="auto"/>
        <w:rPr>
          <w:rFonts w:ascii="Times New Roman" w:hAnsi="Times New Roman"/>
          <w:sz w:val="20"/>
        </w:rPr>
      </w:pPr>
    </w:p>
    <w:p w:rsidR="004943F9" w:rsidRDefault="00A00D09" w:rsidP="000F505C">
      <w:pPr>
        <w:widowControl w:val="0"/>
        <w:spacing w:line="233" w:lineRule="auto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Аннотация</w:t>
      </w:r>
      <w:r w:rsidR="0069619A" w:rsidRPr="00737BA5">
        <w:rPr>
          <w:rFonts w:ascii="Times New Roman" w:hAnsi="Times New Roman"/>
          <w:sz w:val="20"/>
        </w:rPr>
        <w:t>.</w:t>
      </w:r>
      <w:r w:rsidRPr="00737BA5">
        <w:rPr>
          <w:rFonts w:ascii="Times New Roman" w:hAnsi="Times New Roman"/>
          <w:sz w:val="20"/>
        </w:rPr>
        <w:t xml:space="preserve"> </w:t>
      </w:r>
      <w:r w:rsidR="004943F9">
        <w:rPr>
          <w:rFonts w:ascii="Times New Roman" w:hAnsi="Times New Roman"/>
          <w:sz w:val="20"/>
        </w:rPr>
        <w:t>Предложено применение стационарных накопительных п</w:t>
      </w:r>
      <w:r w:rsidR="004943F9">
        <w:rPr>
          <w:rFonts w:ascii="Times New Roman" w:hAnsi="Times New Roman"/>
          <w:sz w:val="20"/>
        </w:rPr>
        <w:t>о</w:t>
      </w:r>
      <w:r w:rsidR="004943F9">
        <w:rPr>
          <w:rFonts w:ascii="Times New Roman" w:hAnsi="Times New Roman"/>
          <w:sz w:val="20"/>
        </w:rPr>
        <w:t>стов в составе тяговых сетей городского электротранспорта с целью увелич</w:t>
      </w:r>
      <w:r w:rsidR="004943F9">
        <w:rPr>
          <w:rFonts w:ascii="Times New Roman" w:hAnsi="Times New Roman"/>
          <w:sz w:val="20"/>
        </w:rPr>
        <w:t>е</w:t>
      </w:r>
      <w:r w:rsidR="004943F9">
        <w:rPr>
          <w:rFonts w:ascii="Times New Roman" w:hAnsi="Times New Roman"/>
          <w:sz w:val="20"/>
        </w:rPr>
        <w:t xml:space="preserve">ния длины </w:t>
      </w:r>
      <w:proofErr w:type="spellStart"/>
      <w:r w:rsidR="004943F9">
        <w:rPr>
          <w:rFonts w:ascii="Times New Roman" w:hAnsi="Times New Roman"/>
          <w:sz w:val="20"/>
        </w:rPr>
        <w:t>межподстанционных</w:t>
      </w:r>
      <w:proofErr w:type="spellEnd"/>
      <w:r w:rsidR="004943F9">
        <w:rPr>
          <w:rFonts w:ascii="Times New Roman" w:hAnsi="Times New Roman"/>
          <w:sz w:val="20"/>
        </w:rPr>
        <w:t xml:space="preserve"> зон при строительстве новых линий. Пре</w:t>
      </w:r>
      <w:r w:rsidR="004943F9">
        <w:rPr>
          <w:rFonts w:ascii="Times New Roman" w:hAnsi="Times New Roman"/>
          <w:sz w:val="20"/>
        </w:rPr>
        <w:t>д</w:t>
      </w:r>
      <w:r w:rsidR="004943F9">
        <w:rPr>
          <w:rFonts w:ascii="Times New Roman" w:hAnsi="Times New Roman"/>
          <w:sz w:val="20"/>
        </w:rPr>
        <w:t>ложена конструкция накопительного поста. С помощью разработанной мат</w:t>
      </w:r>
      <w:r w:rsidR="004943F9">
        <w:rPr>
          <w:rFonts w:ascii="Times New Roman" w:hAnsi="Times New Roman"/>
          <w:sz w:val="20"/>
        </w:rPr>
        <w:t>е</w:t>
      </w:r>
      <w:r w:rsidR="004943F9">
        <w:rPr>
          <w:rFonts w:ascii="Times New Roman" w:hAnsi="Times New Roman"/>
          <w:sz w:val="20"/>
        </w:rPr>
        <w:t>матической модели тяговой сети определены его основные хара</w:t>
      </w:r>
      <w:r w:rsidR="004943F9">
        <w:rPr>
          <w:rFonts w:ascii="Times New Roman" w:hAnsi="Times New Roman"/>
          <w:sz w:val="20"/>
        </w:rPr>
        <w:t>к</w:t>
      </w:r>
      <w:r w:rsidR="004943F9">
        <w:rPr>
          <w:rFonts w:ascii="Times New Roman" w:hAnsi="Times New Roman"/>
          <w:sz w:val="20"/>
        </w:rPr>
        <w:t>теристики.</w:t>
      </w:r>
    </w:p>
    <w:p w:rsidR="00A00D09" w:rsidRPr="00737BA5" w:rsidRDefault="00A00D09" w:rsidP="00A00D09">
      <w:pPr>
        <w:widowControl w:val="0"/>
        <w:spacing w:line="233" w:lineRule="auto"/>
        <w:rPr>
          <w:rFonts w:ascii="Times New Roman" w:hAnsi="Times New Roman"/>
          <w:sz w:val="20"/>
          <w:lang w:val="en-US"/>
        </w:rPr>
      </w:pPr>
      <w:proofErr w:type="gramStart"/>
      <w:r w:rsidRPr="00737BA5">
        <w:rPr>
          <w:rFonts w:ascii="Times New Roman" w:hAnsi="Times New Roman"/>
          <w:sz w:val="20"/>
          <w:lang w:val="en-US"/>
        </w:rPr>
        <w:t>Annotation</w:t>
      </w:r>
      <w:r w:rsidR="0069619A" w:rsidRPr="004943F9">
        <w:rPr>
          <w:rFonts w:ascii="Times New Roman" w:hAnsi="Times New Roman"/>
          <w:sz w:val="20"/>
          <w:lang w:val="en-US"/>
        </w:rPr>
        <w:t>.</w:t>
      </w:r>
      <w:proofErr w:type="gramEnd"/>
      <w:r w:rsidRPr="004943F9">
        <w:rPr>
          <w:rFonts w:ascii="Times New Roman" w:hAnsi="Times New Roman"/>
          <w:sz w:val="20"/>
          <w:lang w:val="en-US"/>
        </w:rPr>
        <w:t xml:space="preserve"> </w:t>
      </w:r>
      <w:r w:rsidR="004943F9">
        <w:rPr>
          <w:rFonts w:ascii="Times New Roman" w:hAnsi="Times New Roman"/>
          <w:sz w:val="20"/>
          <w:lang w:val="en-US"/>
        </w:rPr>
        <w:t>Application of stationary energy storage posts in the traction ne</w:t>
      </w:r>
      <w:r w:rsidR="004943F9">
        <w:rPr>
          <w:rFonts w:ascii="Times New Roman" w:hAnsi="Times New Roman"/>
          <w:sz w:val="20"/>
          <w:lang w:val="en-US"/>
        </w:rPr>
        <w:t>t</w:t>
      </w:r>
      <w:r w:rsidR="004943F9">
        <w:rPr>
          <w:rFonts w:ascii="Times New Roman" w:hAnsi="Times New Roman"/>
          <w:sz w:val="20"/>
          <w:lang w:val="en-US"/>
        </w:rPr>
        <w:t>works is proposed to enlarge contact line section length</w:t>
      </w:r>
      <w:r w:rsidR="001F3CA2">
        <w:rPr>
          <w:rFonts w:ascii="Times New Roman" w:hAnsi="Times New Roman"/>
          <w:sz w:val="20"/>
          <w:lang w:val="en-US"/>
        </w:rPr>
        <w:t xml:space="preserve"> between traction subst</w:t>
      </w:r>
      <w:r w:rsidR="001F3CA2">
        <w:rPr>
          <w:rFonts w:ascii="Times New Roman" w:hAnsi="Times New Roman"/>
          <w:sz w:val="20"/>
          <w:lang w:val="en-US"/>
        </w:rPr>
        <w:t>a</w:t>
      </w:r>
      <w:r w:rsidR="001F3CA2">
        <w:rPr>
          <w:rFonts w:ascii="Times New Roman" w:hAnsi="Times New Roman"/>
          <w:sz w:val="20"/>
          <w:lang w:val="en-US"/>
        </w:rPr>
        <w:t xml:space="preserve">tions for the newly constructed lines. Design of the storage post is discussed. Its main properties are evaluated using proposed traction network model. </w:t>
      </w:r>
    </w:p>
    <w:p w:rsidR="00A00D09" w:rsidRPr="00737BA5" w:rsidRDefault="000F505C" w:rsidP="00A00D09">
      <w:pPr>
        <w:widowControl w:val="0"/>
        <w:spacing w:line="233" w:lineRule="auto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Ключевые</w:t>
      </w:r>
      <w:r w:rsidRPr="001F3CA2">
        <w:rPr>
          <w:rFonts w:ascii="Times New Roman" w:hAnsi="Times New Roman"/>
          <w:sz w:val="20"/>
          <w:lang w:val="en-US"/>
        </w:rPr>
        <w:t xml:space="preserve"> </w:t>
      </w:r>
      <w:r w:rsidRPr="00737BA5">
        <w:rPr>
          <w:rFonts w:ascii="Times New Roman" w:hAnsi="Times New Roman"/>
          <w:sz w:val="20"/>
        </w:rPr>
        <w:t>слова</w:t>
      </w:r>
      <w:r w:rsidRPr="001F3CA2">
        <w:rPr>
          <w:rFonts w:ascii="Times New Roman" w:hAnsi="Times New Roman"/>
          <w:sz w:val="20"/>
          <w:lang w:val="en-US"/>
        </w:rPr>
        <w:t xml:space="preserve">: </w:t>
      </w:r>
      <w:r w:rsidRPr="00737BA5">
        <w:rPr>
          <w:rFonts w:ascii="Times New Roman" w:hAnsi="Times New Roman"/>
          <w:sz w:val="20"/>
        </w:rPr>
        <w:t>тяговая</w:t>
      </w:r>
      <w:r w:rsidRPr="004943F9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>сеть</w:t>
      </w:r>
      <w:r w:rsidRPr="004943F9">
        <w:rPr>
          <w:rFonts w:ascii="Times New Roman" w:hAnsi="Times New Roman"/>
          <w:sz w:val="20"/>
        </w:rPr>
        <w:t xml:space="preserve">, </w:t>
      </w:r>
      <w:proofErr w:type="spellStart"/>
      <w:r w:rsidR="004943F9">
        <w:rPr>
          <w:rFonts w:ascii="Times New Roman" w:hAnsi="Times New Roman"/>
          <w:sz w:val="20"/>
        </w:rPr>
        <w:t>межподстанционная</w:t>
      </w:r>
      <w:proofErr w:type="spellEnd"/>
      <w:r w:rsidR="004943F9">
        <w:rPr>
          <w:rFonts w:ascii="Times New Roman" w:hAnsi="Times New Roman"/>
          <w:sz w:val="20"/>
        </w:rPr>
        <w:t xml:space="preserve"> зона</w:t>
      </w:r>
      <w:r w:rsidRPr="00737BA5">
        <w:rPr>
          <w:rFonts w:ascii="Times New Roman" w:hAnsi="Times New Roman"/>
          <w:sz w:val="20"/>
        </w:rPr>
        <w:t>, троллейбус, потребление энергии</w:t>
      </w:r>
      <w:r w:rsidR="004943F9">
        <w:rPr>
          <w:rFonts w:ascii="Times New Roman" w:hAnsi="Times New Roman"/>
          <w:sz w:val="20"/>
        </w:rPr>
        <w:t>, накопитель энергии</w:t>
      </w:r>
    </w:p>
    <w:p w:rsidR="00A00D09" w:rsidRPr="00737BA5" w:rsidRDefault="00A00D09" w:rsidP="00A00D09">
      <w:pPr>
        <w:widowControl w:val="0"/>
        <w:spacing w:line="233" w:lineRule="auto"/>
        <w:rPr>
          <w:rFonts w:ascii="Times New Roman" w:hAnsi="Times New Roman"/>
          <w:sz w:val="20"/>
          <w:lang w:val="en-US"/>
        </w:rPr>
      </w:pPr>
      <w:r w:rsidRPr="00737BA5">
        <w:rPr>
          <w:rFonts w:ascii="Times New Roman" w:hAnsi="Times New Roman"/>
          <w:sz w:val="20"/>
          <w:lang w:val="en-US"/>
        </w:rPr>
        <w:t xml:space="preserve">Keywords: </w:t>
      </w:r>
      <w:r w:rsidR="000F505C" w:rsidRPr="00737BA5">
        <w:rPr>
          <w:rFonts w:ascii="Times New Roman" w:hAnsi="Times New Roman"/>
          <w:sz w:val="20"/>
          <w:lang w:val="en-US"/>
        </w:rPr>
        <w:t>traction network,</w:t>
      </w:r>
      <w:r w:rsidR="001F3CA2">
        <w:rPr>
          <w:rFonts w:ascii="Times New Roman" w:hAnsi="Times New Roman"/>
          <w:sz w:val="20"/>
          <w:lang w:val="en-US"/>
        </w:rPr>
        <w:t xml:space="preserve"> traction</w:t>
      </w:r>
      <w:r w:rsidR="004943F9">
        <w:rPr>
          <w:rFonts w:ascii="Times New Roman" w:hAnsi="Times New Roman"/>
          <w:sz w:val="20"/>
          <w:lang w:val="en-US"/>
        </w:rPr>
        <w:t xml:space="preserve"> substation distance, trolleybus, energy consumption,</w:t>
      </w:r>
      <w:r w:rsidR="000F505C" w:rsidRPr="00737BA5">
        <w:rPr>
          <w:rFonts w:ascii="Times New Roman" w:hAnsi="Times New Roman"/>
          <w:sz w:val="20"/>
          <w:lang w:val="en-US"/>
        </w:rPr>
        <w:t xml:space="preserve"> </w:t>
      </w:r>
      <w:r w:rsidR="004943F9">
        <w:rPr>
          <w:rFonts w:ascii="Times New Roman" w:hAnsi="Times New Roman"/>
          <w:sz w:val="20"/>
          <w:lang w:val="en-US"/>
        </w:rPr>
        <w:t>energy storage</w:t>
      </w:r>
    </w:p>
    <w:p w:rsidR="003C6AAA" w:rsidRPr="004943F9" w:rsidRDefault="003C6AAA" w:rsidP="003C6AAA">
      <w:pPr>
        <w:widowControl w:val="0"/>
        <w:ind w:firstLine="0"/>
        <w:rPr>
          <w:rFonts w:ascii="Times New Roman" w:hAnsi="Times New Roman"/>
          <w:sz w:val="20"/>
          <w:lang w:val="en-US"/>
        </w:rPr>
      </w:pPr>
    </w:p>
    <w:p w:rsidR="00EF5372" w:rsidRPr="00737BA5" w:rsidRDefault="003C6AAA" w:rsidP="00D73B2B">
      <w:pPr>
        <w:widowControl w:val="0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Активный рост городской территории</w:t>
      </w:r>
      <w:r w:rsidR="008B5A80" w:rsidRPr="00737BA5">
        <w:rPr>
          <w:rFonts w:ascii="Times New Roman" w:hAnsi="Times New Roman"/>
          <w:sz w:val="20"/>
        </w:rPr>
        <w:t>, повышение связности улично-дорожной сети</w:t>
      </w:r>
      <w:r w:rsidRPr="00737BA5">
        <w:rPr>
          <w:rFonts w:ascii="Times New Roman" w:hAnsi="Times New Roman"/>
          <w:sz w:val="20"/>
        </w:rPr>
        <w:t xml:space="preserve"> и изменение преобладающих направлений пассажирских п</w:t>
      </w:r>
      <w:r w:rsidRPr="00737BA5">
        <w:rPr>
          <w:rFonts w:ascii="Times New Roman" w:hAnsi="Times New Roman"/>
          <w:sz w:val="20"/>
        </w:rPr>
        <w:t>о</w:t>
      </w:r>
      <w:r w:rsidRPr="00737BA5">
        <w:rPr>
          <w:rFonts w:ascii="Times New Roman" w:hAnsi="Times New Roman"/>
          <w:sz w:val="20"/>
        </w:rPr>
        <w:t xml:space="preserve">токов </w:t>
      </w:r>
      <w:r w:rsidR="008B5A80" w:rsidRPr="00737BA5">
        <w:rPr>
          <w:rFonts w:ascii="Times New Roman" w:hAnsi="Times New Roman"/>
          <w:sz w:val="20"/>
        </w:rPr>
        <w:t>создают потребность в развитии сетей городского электрического транспорта, как более производительного его вида. Однако, обладая мен</w:t>
      </w:r>
      <w:r w:rsidR="008B5A80" w:rsidRPr="00737BA5">
        <w:rPr>
          <w:rFonts w:ascii="Times New Roman" w:hAnsi="Times New Roman"/>
          <w:sz w:val="20"/>
        </w:rPr>
        <w:t>ь</w:t>
      </w:r>
      <w:r w:rsidR="008B5A80" w:rsidRPr="00737BA5">
        <w:rPr>
          <w:rFonts w:ascii="Times New Roman" w:hAnsi="Times New Roman"/>
          <w:sz w:val="20"/>
        </w:rPr>
        <w:t>шими эксплуатационными затратами в силу ни</w:t>
      </w:r>
      <w:r w:rsidR="008B5A80" w:rsidRPr="00737BA5">
        <w:rPr>
          <w:rFonts w:ascii="Times New Roman" w:hAnsi="Times New Roman"/>
          <w:sz w:val="20"/>
        </w:rPr>
        <w:t>з</w:t>
      </w:r>
      <w:r w:rsidR="008B5A80" w:rsidRPr="00737BA5">
        <w:rPr>
          <w:rFonts w:ascii="Times New Roman" w:hAnsi="Times New Roman"/>
          <w:sz w:val="20"/>
        </w:rPr>
        <w:t>кой стоимости потребляемых энергетических ресурсов, электрифиц</w:t>
      </w:r>
      <w:r w:rsidR="008B5A80" w:rsidRPr="00737BA5">
        <w:rPr>
          <w:rFonts w:ascii="Times New Roman" w:hAnsi="Times New Roman"/>
          <w:sz w:val="20"/>
        </w:rPr>
        <w:t>и</w:t>
      </w:r>
      <w:r w:rsidR="008B5A80" w:rsidRPr="00737BA5">
        <w:rPr>
          <w:rFonts w:ascii="Times New Roman" w:hAnsi="Times New Roman"/>
          <w:sz w:val="20"/>
        </w:rPr>
        <w:t>рованный транспорт требует высоких капитальных вложений в стро</w:t>
      </w:r>
      <w:r w:rsidR="008B5A80" w:rsidRPr="00737BA5">
        <w:rPr>
          <w:rFonts w:ascii="Times New Roman" w:hAnsi="Times New Roman"/>
          <w:sz w:val="20"/>
        </w:rPr>
        <w:t>и</w:t>
      </w:r>
      <w:r w:rsidR="008B5A80" w:rsidRPr="00737BA5">
        <w:rPr>
          <w:rFonts w:ascii="Times New Roman" w:hAnsi="Times New Roman"/>
          <w:sz w:val="20"/>
        </w:rPr>
        <w:t>тельство новых линий. Одной из основных причин относительно высокой начальной стоимости линейной инфрастру</w:t>
      </w:r>
      <w:r w:rsidR="008B5A80" w:rsidRPr="00737BA5">
        <w:rPr>
          <w:rFonts w:ascii="Times New Roman" w:hAnsi="Times New Roman"/>
          <w:sz w:val="20"/>
        </w:rPr>
        <w:t>к</w:t>
      </w:r>
      <w:r w:rsidR="008B5A80" w:rsidRPr="00737BA5">
        <w:rPr>
          <w:rFonts w:ascii="Times New Roman" w:hAnsi="Times New Roman"/>
          <w:sz w:val="20"/>
        </w:rPr>
        <w:t>туры городского электротранспорта является потребность в организации си</w:t>
      </w:r>
      <w:r w:rsidR="008B5A80" w:rsidRPr="00737BA5">
        <w:rPr>
          <w:rFonts w:ascii="Times New Roman" w:hAnsi="Times New Roman"/>
          <w:sz w:val="20"/>
        </w:rPr>
        <w:t>с</w:t>
      </w:r>
      <w:r w:rsidR="008B5A80" w:rsidRPr="00737BA5">
        <w:rPr>
          <w:rFonts w:ascii="Times New Roman" w:hAnsi="Times New Roman"/>
          <w:sz w:val="20"/>
        </w:rPr>
        <w:t xml:space="preserve">тем электроснабжения. Как правило, через каждые 1 – 3 км </w:t>
      </w:r>
      <w:r w:rsidR="00EF5372" w:rsidRPr="00737BA5">
        <w:rPr>
          <w:rFonts w:ascii="Times New Roman" w:hAnsi="Times New Roman"/>
          <w:sz w:val="20"/>
        </w:rPr>
        <w:t>является необх</w:t>
      </w:r>
      <w:r w:rsidR="00EF5372" w:rsidRPr="00737BA5">
        <w:rPr>
          <w:rFonts w:ascii="Times New Roman" w:hAnsi="Times New Roman"/>
          <w:sz w:val="20"/>
        </w:rPr>
        <w:t>о</w:t>
      </w:r>
      <w:r w:rsidR="00EF5372" w:rsidRPr="00737BA5">
        <w:rPr>
          <w:rFonts w:ascii="Times New Roman" w:hAnsi="Times New Roman"/>
          <w:sz w:val="20"/>
        </w:rPr>
        <w:t xml:space="preserve">димым строительство тяговых подстанций, сопряженное с потребностью в отводе земельных участков, а также прокладке подземных кабельных линий. </w:t>
      </w:r>
    </w:p>
    <w:p w:rsidR="003C6AAA" w:rsidRPr="00737BA5" w:rsidRDefault="00EF5372" w:rsidP="00D73B2B">
      <w:pPr>
        <w:widowControl w:val="0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Одним из основных факторов, ограничивающих расстояние между тяг</w:t>
      </w:r>
      <w:r w:rsidRPr="00737BA5">
        <w:rPr>
          <w:rFonts w:ascii="Times New Roman" w:hAnsi="Times New Roman"/>
          <w:sz w:val="20"/>
        </w:rPr>
        <w:t>о</w:t>
      </w:r>
      <w:r w:rsidRPr="00737BA5">
        <w:rPr>
          <w:rFonts w:ascii="Times New Roman" w:hAnsi="Times New Roman"/>
          <w:sz w:val="20"/>
        </w:rPr>
        <w:t xml:space="preserve">выми подстанциями, являются потери энергии в тяговых сетях. </w:t>
      </w:r>
      <w:r w:rsidR="00470C86" w:rsidRPr="00737BA5">
        <w:rPr>
          <w:rFonts w:ascii="Times New Roman" w:hAnsi="Times New Roman"/>
          <w:sz w:val="20"/>
        </w:rPr>
        <w:t>Наиболее значительно оно проявляется в условиях сравнительно м</w:t>
      </w:r>
      <w:r w:rsidR="00470C86" w:rsidRPr="00737BA5">
        <w:rPr>
          <w:rFonts w:ascii="Times New Roman" w:hAnsi="Times New Roman"/>
          <w:sz w:val="20"/>
        </w:rPr>
        <w:t>а</w:t>
      </w:r>
      <w:r w:rsidR="00470C86" w:rsidRPr="00737BA5">
        <w:rPr>
          <w:rFonts w:ascii="Times New Roman" w:hAnsi="Times New Roman"/>
          <w:sz w:val="20"/>
        </w:rPr>
        <w:t>лой интенсивности движения, при которых суммарный ток, потре</w:t>
      </w:r>
      <w:r w:rsidR="00470C86" w:rsidRPr="00737BA5">
        <w:rPr>
          <w:rFonts w:ascii="Times New Roman" w:hAnsi="Times New Roman"/>
          <w:sz w:val="20"/>
        </w:rPr>
        <w:t>б</w:t>
      </w:r>
      <w:r w:rsidR="00470C86" w:rsidRPr="00737BA5">
        <w:rPr>
          <w:rFonts w:ascii="Times New Roman" w:hAnsi="Times New Roman"/>
          <w:sz w:val="20"/>
        </w:rPr>
        <w:t>ляемый всеми транспортными средствами, находящимися на секции контактной сети, является относител</w:t>
      </w:r>
      <w:r w:rsidR="00470C86" w:rsidRPr="00737BA5">
        <w:rPr>
          <w:rFonts w:ascii="Times New Roman" w:hAnsi="Times New Roman"/>
          <w:sz w:val="20"/>
        </w:rPr>
        <w:t>ь</w:t>
      </w:r>
      <w:r w:rsidR="00470C86" w:rsidRPr="00737BA5">
        <w:rPr>
          <w:rFonts w:ascii="Times New Roman" w:hAnsi="Times New Roman"/>
          <w:sz w:val="20"/>
        </w:rPr>
        <w:t>но малым.</w:t>
      </w:r>
      <w:r w:rsidR="00EB0BC5" w:rsidRPr="00737BA5">
        <w:rPr>
          <w:rFonts w:ascii="Times New Roman" w:hAnsi="Times New Roman"/>
          <w:sz w:val="20"/>
        </w:rPr>
        <w:t xml:space="preserve"> В этих условиях реализация мероприятий, направленных на ст</w:t>
      </w:r>
      <w:r w:rsidR="00EB0BC5" w:rsidRPr="00737BA5">
        <w:rPr>
          <w:rFonts w:ascii="Times New Roman" w:hAnsi="Times New Roman"/>
          <w:sz w:val="20"/>
        </w:rPr>
        <w:t>а</w:t>
      </w:r>
      <w:r w:rsidR="00EB0BC5" w:rsidRPr="00737BA5">
        <w:rPr>
          <w:rFonts w:ascii="Times New Roman" w:hAnsi="Times New Roman"/>
          <w:sz w:val="20"/>
        </w:rPr>
        <w:t>билизацию уровня напр</w:t>
      </w:r>
      <w:r w:rsidR="00EB0BC5" w:rsidRPr="00737BA5">
        <w:rPr>
          <w:rFonts w:ascii="Times New Roman" w:hAnsi="Times New Roman"/>
          <w:sz w:val="20"/>
        </w:rPr>
        <w:t>я</w:t>
      </w:r>
      <w:r w:rsidR="00EB0BC5" w:rsidRPr="00737BA5">
        <w:rPr>
          <w:rFonts w:ascii="Times New Roman" w:hAnsi="Times New Roman"/>
          <w:sz w:val="20"/>
        </w:rPr>
        <w:t>жения в контактной сети, позволила бы увеличить длину секций тяг</w:t>
      </w:r>
      <w:r w:rsidR="00EB0BC5" w:rsidRPr="00737BA5">
        <w:rPr>
          <w:rFonts w:ascii="Times New Roman" w:hAnsi="Times New Roman"/>
          <w:sz w:val="20"/>
        </w:rPr>
        <w:t>о</w:t>
      </w:r>
      <w:r w:rsidR="00EB0BC5" w:rsidRPr="00737BA5">
        <w:rPr>
          <w:rFonts w:ascii="Times New Roman" w:hAnsi="Times New Roman"/>
          <w:sz w:val="20"/>
        </w:rPr>
        <w:t>вой сети и, соответственно, расстояние между тяговыми подстанци</w:t>
      </w:r>
      <w:r w:rsidR="00EB0BC5" w:rsidRPr="00737BA5">
        <w:rPr>
          <w:rFonts w:ascii="Times New Roman" w:hAnsi="Times New Roman"/>
          <w:sz w:val="20"/>
        </w:rPr>
        <w:t>я</w:t>
      </w:r>
      <w:r w:rsidR="00EB0BC5" w:rsidRPr="00737BA5">
        <w:rPr>
          <w:rFonts w:ascii="Times New Roman" w:hAnsi="Times New Roman"/>
          <w:sz w:val="20"/>
        </w:rPr>
        <w:t>ми</w:t>
      </w:r>
      <w:r w:rsidR="003F0AA5">
        <w:rPr>
          <w:rFonts w:ascii="Times New Roman" w:hAnsi="Times New Roman"/>
          <w:sz w:val="20"/>
        </w:rPr>
        <w:t xml:space="preserve"> </w:t>
      </w:r>
      <w:r w:rsidR="003F0AA5" w:rsidRPr="003F0AA5">
        <w:rPr>
          <w:rFonts w:ascii="Times New Roman" w:hAnsi="Times New Roman"/>
          <w:sz w:val="20"/>
        </w:rPr>
        <w:t>[</w:t>
      </w:r>
      <w:r w:rsidR="003F0AA5">
        <w:rPr>
          <w:rFonts w:ascii="Times New Roman" w:hAnsi="Times New Roman"/>
          <w:sz w:val="20"/>
        </w:rPr>
        <w:t>1, 2</w:t>
      </w:r>
      <w:r w:rsidR="003F0AA5" w:rsidRPr="003F0AA5">
        <w:rPr>
          <w:rFonts w:ascii="Times New Roman" w:hAnsi="Times New Roman"/>
          <w:sz w:val="20"/>
        </w:rPr>
        <w:t>]</w:t>
      </w:r>
      <w:r w:rsidR="00EB0BC5" w:rsidRPr="00737BA5">
        <w:rPr>
          <w:rFonts w:ascii="Times New Roman" w:hAnsi="Times New Roman"/>
          <w:sz w:val="20"/>
        </w:rPr>
        <w:t xml:space="preserve">. </w:t>
      </w:r>
    </w:p>
    <w:p w:rsidR="00EB0BC5" w:rsidRPr="00737BA5" w:rsidRDefault="00EB0BC5" w:rsidP="00D73B2B">
      <w:pPr>
        <w:widowControl w:val="0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 xml:space="preserve">В настоящее время становятся доступны эффективные устройства для </w:t>
      </w:r>
      <w:r w:rsidRPr="00737BA5">
        <w:rPr>
          <w:rFonts w:ascii="Times New Roman" w:hAnsi="Times New Roman"/>
          <w:sz w:val="20"/>
        </w:rPr>
        <w:lastRenderedPageBreak/>
        <w:t xml:space="preserve">накопления электрической энергии. К ним можно отнести конденсаторы дойного электрического слоя (КДЭС), а также </w:t>
      </w:r>
      <w:proofErr w:type="spellStart"/>
      <w:r w:rsidRPr="00737BA5">
        <w:rPr>
          <w:rFonts w:ascii="Times New Roman" w:hAnsi="Times New Roman"/>
          <w:sz w:val="20"/>
        </w:rPr>
        <w:t>литий-титанатные</w:t>
      </w:r>
      <w:proofErr w:type="spellEnd"/>
      <w:r w:rsidRPr="00737BA5">
        <w:rPr>
          <w:rFonts w:ascii="Times New Roman" w:hAnsi="Times New Roman"/>
          <w:sz w:val="20"/>
        </w:rPr>
        <w:t xml:space="preserve"> аккумул</w:t>
      </w:r>
      <w:r w:rsidRPr="00737BA5">
        <w:rPr>
          <w:rFonts w:ascii="Times New Roman" w:hAnsi="Times New Roman"/>
          <w:sz w:val="20"/>
        </w:rPr>
        <w:t>я</w:t>
      </w:r>
      <w:r w:rsidRPr="00737BA5">
        <w:rPr>
          <w:rFonts w:ascii="Times New Roman" w:hAnsi="Times New Roman"/>
          <w:sz w:val="20"/>
        </w:rPr>
        <w:t xml:space="preserve">торные батареи (ЛТА). На их основе </w:t>
      </w:r>
      <w:r w:rsidR="006F76E2" w:rsidRPr="00737BA5">
        <w:rPr>
          <w:rFonts w:ascii="Times New Roman" w:hAnsi="Times New Roman"/>
          <w:sz w:val="20"/>
        </w:rPr>
        <w:t>становится возможным создание ус</w:t>
      </w:r>
      <w:r w:rsidR="006F76E2" w:rsidRPr="00737BA5">
        <w:rPr>
          <w:rFonts w:ascii="Times New Roman" w:hAnsi="Times New Roman"/>
          <w:sz w:val="20"/>
        </w:rPr>
        <w:t>т</w:t>
      </w:r>
      <w:r w:rsidR="006F76E2" w:rsidRPr="00737BA5">
        <w:rPr>
          <w:rFonts w:ascii="Times New Roman" w:hAnsi="Times New Roman"/>
          <w:sz w:val="20"/>
        </w:rPr>
        <w:t>ройств, стабилизирующих уровень напряжения контактной сети</w:t>
      </w:r>
      <w:r w:rsidR="008870B2">
        <w:rPr>
          <w:rFonts w:ascii="Times New Roman" w:hAnsi="Times New Roman"/>
          <w:sz w:val="20"/>
        </w:rPr>
        <w:t xml:space="preserve"> </w:t>
      </w:r>
      <w:r w:rsidR="008870B2" w:rsidRPr="008870B2">
        <w:rPr>
          <w:rFonts w:ascii="Times New Roman" w:hAnsi="Times New Roman"/>
          <w:sz w:val="20"/>
        </w:rPr>
        <w:t>[</w:t>
      </w:r>
      <w:r w:rsidR="003F0AA5">
        <w:rPr>
          <w:rFonts w:ascii="Times New Roman" w:hAnsi="Times New Roman"/>
          <w:sz w:val="20"/>
        </w:rPr>
        <w:t>3</w:t>
      </w:r>
      <w:r w:rsidR="008870B2" w:rsidRPr="008870B2">
        <w:rPr>
          <w:rFonts w:ascii="Times New Roman" w:hAnsi="Times New Roman"/>
          <w:sz w:val="20"/>
        </w:rPr>
        <w:t>]</w:t>
      </w:r>
      <w:r w:rsidR="006F76E2" w:rsidRPr="00737BA5">
        <w:rPr>
          <w:rFonts w:ascii="Times New Roman" w:hAnsi="Times New Roman"/>
          <w:sz w:val="20"/>
        </w:rPr>
        <w:t>. При превышении напряжением в точке подключения к сети определенного знач</w:t>
      </w:r>
      <w:r w:rsidR="006F76E2" w:rsidRPr="00737BA5">
        <w:rPr>
          <w:rFonts w:ascii="Times New Roman" w:hAnsi="Times New Roman"/>
          <w:sz w:val="20"/>
        </w:rPr>
        <w:t>е</w:t>
      </w:r>
      <w:r w:rsidR="006F76E2" w:rsidRPr="00737BA5">
        <w:rPr>
          <w:rFonts w:ascii="Times New Roman" w:hAnsi="Times New Roman"/>
          <w:sz w:val="20"/>
        </w:rPr>
        <w:t xml:space="preserve">ния такое устройство потребляет ток, заряжая накопитель. При </w:t>
      </w:r>
      <w:r w:rsidR="002A1293">
        <w:rPr>
          <w:rFonts w:ascii="Times New Roman" w:hAnsi="Times New Roman"/>
          <w:sz w:val="20"/>
        </w:rPr>
        <w:t>понижении уровня напряжения вследствие</w:t>
      </w:r>
      <w:r w:rsidR="006F76E2" w:rsidRPr="00737BA5">
        <w:rPr>
          <w:rFonts w:ascii="Times New Roman" w:hAnsi="Times New Roman"/>
          <w:sz w:val="20"/>
        </w:rPr>
        <w:t xml:space="preserve"> </w:t>
      </w:r>
      <w:r w:rsidR="002A1293">
        <w:rPr>
          <w:rFonts w:ascii="Times New Roman" w:hAnsi="Times New Roman"/>
          <w:sz w:val="20"/>
        </w:rPr>
        <w:t>потребления энергии</w:t>
      </w:r>
      <w:r w:rsidR="006F76E2" w:rsidRPr="00737BA5">
        <w:rPr>
          <w:rFonts w:ascii="Times New Roman" w:hAnsi="Times New Roman"/>
          <w:sz w:val="20"/>
        </w:rPr>
        <w:t xml:space="preserve"> транспортны</w:t>
      </w:r>
      <w:r w:rsidR="002A1293">
        <w:rPr>
          <w:rFonts w:ascii="Times New Roman" w:hAnsi="Times New Roman"/>
          <w:sz w:val="20"/>
        </w:rPr>
        <w:t>ми</w:t>
      </w:r>
      <w:r w:rsidR="006F76E2" w:rsidRPr="00737BA5">
        <w:rPr>
          <w:rFonts w:ascii="Times New Roman" w:hAnsi="Times New Roman"/>
          <w:sz w:val="20"/>
        </w:rPr>
        <w:t xml:space="preserve"> средс</w:t>
      </w:r>
      <w:r w:rsidR="006F76E2" w:rsidRPr="00737BA5">
        <w:rPr>
          <w:rFonts w:ascii="Times New Roman" w:hAnsi="Times New Roman"/>
          <w:sz w:val="20"/>
        </w:rPr>
        <w:t>т</w:t>
      </w:r>
      <w:r w:rsidR="006F76E2" w:rsidRPr="00737BA5">
        <w:rPr>
          <w:rFonts w:ascii="Times New Roman" w:hAnsi="Times New Roman"/>
          <w:sz w:val="20"/>
        </w:rPr>
        <w:t>в</w:t>
      </w:r>
      <w:r w:rsidR="002A1293">
        <w:rPr>
          <w:rFonts w:ascii="Times New Roman" w:hAnsi="Times New Roman"/>
          <w:sz w:val="20"/>
        </w:rPr>
        <w:t>ами</w:t>
      </w:r>
      <w:r w:rsidR="006F76E2" w:rsidRPr="00737BA5">
        <w:rPr>
          <w:rFonts w:ascii="Times New Roman" w:hAnsi="Times New Roman"/>
          <w:sz w:val="20"/>
        </w:rPr>
        <w:t xml:space="preserve"> в режиме тяги накопитель </w:t>
      </w:r>
      <w:r w:rsidR="002A1293">
        <w:rPr>
          <w:rFonts w:ascii="Times New Roman" w:hAnsi="Times New Roman"/>
          <w:sz w:val="20"/>
        </w:rPr>
        <w:t>переходит в режим разряда</w:t>
      </w:r>
      <w:r w:rsidR="006F76E2" w:rsidRPr="00737BA5">
        <w:rPr>
          <w:rFonts w:ascii="Times New Roman" w:hAnsi="Times New Roman"/>
          <w:sz w:val="20"/>
        </w:rPr>
        <w:t>.</w:t>
      </w:r>
      <w:r w:rsidR="00737BA5" w:rsidRPr="00737BA5">
        <w:rPr>
          <w:rFonts w:ascii="Times New Roman" w:hAnsi="Times New Roman"/>
          <w:sz w:val="20"/>
        </w:rPr>
        <w:t xml:space="preserve"> Напряжение н</w:t>
      </w:r>
      <w:r w:rsidR="00737BA5" w:rsidRPr="00737BA5">
        <w:rPr>
          <w:rFonts w:ascii="Times New Roman" w:hAnsi="Times New Roman"/>
          <w:sz w:val="20"/>
        </w:rPr>
        <w:t>а</w:t>
      </w:r>
      <w:r w:rsidR="00737BA5" w:rsidRPr="00737BA5">
        <w:rPr>
          <w:rFonts w:ascii="Times New Roman" w:hAnsi="Times New Roman"/>
          <w:sz w:val="20"/>
        </w:rPr>
        <w:t>копителя целесообразно выбирать близким к уровню 510</w:t>
      </w:r>
      <w:proofErr w:type="gramStart"/>
      <w:r w:rsidR="00737BA5" w:rsidRPr="00737BA5">
        <w:rPr>
          <w:rFonts w:ascii="Times New Roman" w:hAnsi="Times New Roman"/>
          <w:sz w:val="20"/>
        </w:rPr>
        <w:t xml:space="preserve"> В</w:t>
      </w:r>
      <w:proofErr w:type="gramEnd"/>
      <w:r w:rsidR="00737BA5" w:rsidRPr="00737BA5">
        <w:rPr>
          <w:rFonts w:ascii="Times New Roman" w:hAnsi="Times New Roman"/>
          <w:sz w:val="20"/>
        </w:rPr>
        <w:t>, что равно мин</w:t>
      </w:r>
      <w:r w:rsidR="00737BA5" w:rsidRPr="00737BA5">
        <w:rPr>
          <w:rFonts w:ascii="Times New Roman" w:hAnsi="Times New Roman"/>
          <w:sz w:val="20"/>
        </w:rPr>
        <w:t>и</w:t>
      </w:r>
      <w:r w:rsidR="00737BA5" w:rsidRPr="00737BA5">
        <w:rPr>
          <w:rFonts w:ascii="Times New Roman" w:hAnsi="Times New Roman"/>
          <w:sz w:val="20"/>
        </w:rPr>
        <w:t>мально допустимому среднему уровню напряжения в тяговой сети по треб</w:t>
      </w:r>
      <w:r w:rsidR="00737BA5" w:rsidRPr="00737BA5">
        <w:rPr>
          <w:rFonts w:ascii="Times New Roman" w:hAnsi="Times New Roman"/>
          <w:sz w:val="20"/>
        </w:rPr>
        <w:t>о</w:t>
      </w:r>
      <w:r w:rsidR="00737BA5" w:rsidRPr="00737BA5">
        <w:rPr>
          <w:rFonts w:ascii="Times New Roman" w:hAnsi="Times New Roman"/>
          <w:sz w:val="20"/>
        </w:rPr>
        <w:t>ван</w:t>
      </w:r>
      <w:r w:rsidR="00737BA5" w:rsidRPr="00737BA5">
        <w:rPr>
          <w:rFonts w:ascii="Times New Roman" w:hAnsi="Times New Roman"/>
          <w:sz w:val="20"/>
        </w:rPr>
        <w:t>и</w:t>
      </w:r>
      <w:r w:rsidR="00737BA5" w:rsidRPr="00737BA5">
        <w:rPr>
          <w:rFonts w:ascii="Times New Roman" w:hAnsi="Times New Roman"/>
          <w:sz w:val="20"/>
        </w:rPr>
        <w:t>ям правил технической эксплуатации (уровень потерь 90 В относительно номинального напряж</w:t>
      </w:r>
      <w:r w:rsidR="00737BA5" w:rsidRPr="00737BA5">
        <w:rPr>
          <w:rFonts w:ascii="Times New Roman" w:hAnsi="Times New Roman"/>
          <w:sz w:val="20"/>
        </w:rPr>
        <w:t>е</w:t>
      </w:r>
      <w:r w:rsidR="00737BA5" w:rsidRPr="00737BA5">
        <w:rPr>
          <w:rFonts w:ascii="Times New Roman" w:hAnsi="Times New Roman"/>
          <w:sz w:val="20"/>
        </w:rPr>
        <w:t>ния холостого хода тяговой подстанции)</w:t>
      </w:r>
      <w:r w:rsidR="003F0AA5">
        <w:rPr>
          <w:rFonts w:ascii="Times New Roman" w:hAnsi="Times New Roman"/>
          <w:sz w:val="20"/>
        </w:rPr>
        <w:t xml:space="preserve"> </w:t>
      </w:r>
      <w:r w:rsidR="003F0AA5" w:rsidRPr="003F0AA5">
        <w:rPr>
          <w:rFonts w:ascii="Times New Roman" w:hAnsi="Times New Roman"/>
          <w:sz w:val="20"/>
        </w:rPr>
        <w:t>[</w:t>
      </w:r>
      <w:r w:rsidR="003F0AA5">
        <w:rPr>
          <w:rFonts w:ascii="Times New Roman" w:hAnsi="Times New Roman"/>
          <w:sz w:val="20"/>
        </w:rPr>
        <w:t>4</w:t>
      </w:r>
      <w:r w:rsidR="003F0AA5" w:rsidRPr="003F0AA5">
        <w:rPr>
          <w:rFonts w:ascii="Times New Roman" w:hAnsi="Times New Roman"/>
          <w:sz w:val="20"/>
        </w:rPr>
        <w:t>]</w:t>
      </w:r>
      <w:r w:rsidR="00737BA5" w:rsidRPr="00737BA5">
        <w:rPr>
          <w:rFonts w:ascii="Times New Roman" w:hAnsi="Times New Roman"/>
          <w:sz w:val="20"/>
        </w:rPr>
        <w:t>.</w:t>
      </w:r>
    </w:p>
    <w:p w:rsidR="00737BA5" w:rsidRDefault="00737BA5" w:rsidP="00D73B2B">
      <w:pPr>
        <w:widowControl w:val="0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Для определения эффективности предложенного решения необходимо установить мощность накопителя, место его установки и эне</w:t>
      </w:r>
      <w:r w:rsidRPr="00737BA5">
        <w:rPr>
          <w:rFonts w:ascii="Times New Roman" w:hAnsi="Times New Roman"/>
          <w:sz w:val="20"/>
        </w:rPr>
        <w:t>р</w:t>
      </w:r>
      <w:r w:rsidRPr="00737BA5">
        <w:rPr>
          <w:rFonts w:ascii="Times New Roman" w:hAnsi="Times New Roman"/>
          <w:sz w:val="20"/>
        </w:rPr>
        <w:t>гоемкость. Для этого был использован метод вероятностного эксперимента</w:t>
      </w:r>
      <w:r w:rsidR="008870B2">
        <w:rPr>
          <w:rFonts w:ascii="Times New Roman" w:hAnsi="Times New Roman"/>
          <w:sz w:val="20"/>
        </w:rPr>
        <w:t xml:space="preserve"> </w:t>
      </w:r>
      <w:r w:rsidR="008870B2">
        <w:rPr>
          <w:rFonts w:ascii="Times New Roman" w:hAnsi="Times New Roman"/>
          <w:sz w:val="20"/>
          <w:lang w:val="en-US"/>
        </w:rPr>
        <w:t>[</w:t>
      </w:r>
      <w:r w:rsidR="003F0AA5">
        <w:rPr>
          <w:rFonts w:ascii="Times New Roman" w:hAnsi="Times New Roman"/>
          <w:sz w:val="20"/>
        </w:rPr>
        <w:t>1, 5</w:t>
      </w:r>
      <w:r w:rsidR="008870B2">
        <w:rPr>
          <w:rFonts w:ascii="Times New Roman" w:hAnsi="Times New Roman"/>
          <w:sz w:val="20"/>
          <w:lang w:val="en-US"/>
        </w:rPr>
        <w:t>]</w:t>
      </w:r>
      <w:r w:rsidRPr="00737BA5">
        <w:rPr>
          <w:rFonts w:ascii="Times New Roman" w:hAnsi="Times New Roman"/>
          <w:sz w:val="20"/>
        </w:rPr>
        <w:t>. Было ра</w:t>
      </w:r>
      <w:r w:rsidRPr="00737BA5">
        <w:rPr>
          <w:rFonts w:ascii="Times New Roman" w:hAnsi="Times New Roman"/>
          <w:sz w:val="20"/>
        </w:rPr>
        <w:t>с</w:t>
      </w:r>
      <w:r w:rsidRPr="00737BA5">
        <w:rPr>
          <w:rFonts w:ascii="Times New Roman" w:hAnsi="Times New Roman"/>
          <w:sz w:val="20"/>
        </w:rPr>
        <w:t>смотрено большое количество возможных ситуаций,  отличающихся между собой количеством поездов на секции и потребляемых ими токами. В качес</w:t>
      </w:r>
      <w:r w:rsidRPr="00737BA5">
        <w:rPr>
          <w:rFonts w:ascii="Times New Roman" w:hAnsi="Times New Roman"/>
          <w:sz w:val="20"/>
        </w:rPr>
        <w:t>т</w:t>
      </w:r>
      <w:r w:rsidRPr="00737BA5">
        <w:rPr>
          <w:rFonts w:ascii="Times New Roman" w:hAnsi="Times New Roman"/>
          <w:sz w:val="20"/>
        </w:rPr>
        <w:t>ве и</w:t>
      </w:r>
      <w:r w:rsidRPr="00737BA5">
        <w:rPr>
          <w:rFonts w:ascii="Times New Roman" w:hAnsi="Times New Roman"/>
          <w:sz w:val="20"/>
        </w:rPr>
        <w:t>с</w:t>
      </w:r>
      <w:r w:rsidRPr="00737BA5">
        <w:rPr>
          <w:rFonts w:ascii="Times New Roman" w:hAnsi="Times New Roman"/>
          <w:sz w:val="20"/>
        </w:rPr>
        <w:t>ходных данных для расчета использовано распределение тяговых токов, потребляемых троллейбусом. Распределение было получено экспериме</w:t>
      </w:r>
      <w:r w:rsidRPr="00737BA5">
        <w:rPr>
          <w:rFonts w:ascii="Times New Roman" w:hAnsi="Times New Roman"/>
          <w:sz w:val="20"/>
        </w:rPr>
        <w:t>н</w:t>
      </w:r>
      <w:r w:rsidRPr="00737BA5">
        <w:rPr>
          <w:rFonts w:ascii="Times New Roman" w:hAnsi="Times New Roman"/>
          <w:sz w:val="20"/>
        </w:rPr>
        <w:t>тальн</w:t>
      </w:r>
      <w:r w:rsidR="009C3145">
        <w:rPr>
          <w:rFonts w:ascii="Times New Roman" w:hAnsi="Times New Roman"/>
          <w:sz w:val="20"/>
        </w:rPr>
        <w:t>о</w:t>
      </w:r>
      <w:r w:rsidRPr="00737BA5">
        <w:rPr>
          <w:rFonts w:ascii="Times New Roman" w:hAnsi="Times New Roman"/>
          <w:sz w:val="20"/>
        </w:rPr>
        <w:t xml:space="preserve"> при помощи борт</w:t>
      </w:r>
      <w:r w:rsidRPr="00737BA5">
        <w:rPr>
          <w:rFonts w:ascii="Times New Roman" w:hAnsi="Times New Roman"/>
          <w:sz w:val="20"/>
        </w:rPr>
        <w:t>о</w:t>
      </w:r>
      <w:r w:rsidRPr="00737BA5">
        <w:rPr>
          <w:rFonts w:ascii="Times New Roman" w:hAnsi="Times New Roman"/>
          <w:sz w:val="20"/>
        </w:rPr>
        <w:t>вого регистратора, установленного на троллейбус</w:t>
      </w:r>
      <w:r w:rsidR="009C3145">
        <w:rPr>
          <w:rFonts w:ascii="Times New Roman" w:hAnsi="Times New Roman"/>
          <w:sz w:val="20"/>
        </w:rPr>
        <w:t xml:space="preserve"> </w:t>
      </w:r>
      <w:r w:rsidR="009C3145" w:rsidRPr="009C3145">
        <w:rPr>
          <w:rFonts w:ascii="Times New Roman" w:hAnsi="Times New Roman"/>
          <w:sz w:val="20"/>
        </w:rPr>
        <w:t>[</w:t>
      </w:r>
      <w:r w:rsidR="003F0AA5">
        <w:rPr>
          <w:rFonts w:ascii="Times New Roman" w:hAnsi="Times New Roman"/>
          <w:sz w:val="20"/>
        </w:rPr>
        <w:t>6</w:t>
      </w:r>
      <w:r w:rsidR="009C3145" w:rsidRPr="009C3145">
        <w:rPr>
          <w:rFonts w:ascii="Times New Roman" w:hAnsi="Times New Roman"/>
          <w:sz w:val="20"/>
        </w:rPr>
        <w:t>]</w:t>
      </w:r>
      <w:r w:rsidRPr="00737BA5">
        <w:rPr>
          <w:rFonts w:ascii="Times New Roman" w:hAnsi="Times New Roman"/>
          <w:sz w:val="20"/>
        </w:rPr>
        <w:t>. Для заданного набора поездных токов была определена величина пад</w:t>
      </w:r>
      <w:r w:rsidRPr="00737BA5">
        <w:rPr>
          <w:rFonts w:ascii="Times New Roman" w:hAnsi="Times New Roman"/>
          <w:sz w:val="20"/>
        </w:rPr>
        <w:t>е</w:t>
      </w:r>
      <w:r w:rsidRPr="00737BA5">
        <w:rPr>
          <w:rFonts w:ascii="Times New Roman" w:hAnsi="Times New Roman"/>
          <w:sz w:val="20"/>
        </w:rPr>
        <w:t>ния напряжения в конце секции при равномерно</w:t>
      </w:r>
      <w:r w:rsidR="009C3145">
        <w:rPr>
          <w:rFonts w:ascii="Times New Roman" w:hAnsi="Times New Roman"/>
          <w:sz w:val="20"/>
        </w:rPr>
        <w:t>м</w:t>
      </w:r>
      <w:r w:rsidRPr="00737BA5">
        <w:rPr>
          <w:rFonts w:ascii="Times New Roman" w:hAnsi="Times New Roman"/>
          <w:sz w:val="20"/>
        </w:rPr>
        <w:t xml:space="preserve"> распределени</w:t>
      </w:r>
      <w:r w:rsidR="009C3145">
        <w:rPr>
          <w:rFonts w:ascii="Times New Roman" w:hAnsi="Times New Roman"/>
          <w:sz w:val="20"/>
        </w:rPr>
        <w:t>и</w:t>
      </w:r>
      <w:r w:rsidRPr="00737BA5">
        <w:rPr>
          <w:rFonts w:ascii="Times New Roman" w:hAnsi="Times New Roman"/>
          <w:sz w:val="20"/>
        </w:rPr>
        <w:t xml:space="preserve"> транспор</w:t>
      </w:r>
      <w:r w:rsidRPr="00737BA5">
        <w:rPr>
          <w:rFonts w:ascii="Times New Roman" w:hAnsi="Times New Roman"/>
          <w:sz w:val="20"/>
        </w:rPr>
        <w:t>т</w:t>
      </w:r>
      <w:r w:rsidRPr="00737BA5">
        <w:rPr>
          <w:rFonts w:ascii="Times New Roman" w:hAnsi="Times New Roman"/>
          <w:sz w:val="20"/>
        </w:rPr>
        <w:t>ных средств по ее дл</w:t>
      </w:r>
      <w:r w:rsidRPr="00737BA5">
        <w:rPr>
          <w:rFonts w:ascii="Times New Roman" w:hAnsi="Times New Roman"/>
          <w:sz w:val="20"/>
        </w:rPr>
        <w:t>и</w:t>
      </w:r>
      <w:r w:rsidRPr="00737BA5">
        <w:rPr>
          <w:rFonts w:ascii="Times New Roman" w:hAnsi="Times New Roman"/>
          <w:sz w:val="20"/>
        </w:rPr>
        <w:t xml:space="preserve">не. </w:t>
      </w:r>
    </w:p>
    <w:p w:rsidR="00D73B2B" w:rsidRPr="00D73B2B" w:rsidRDefault="00D73B2B" w:rsidP="00D73B2B">
      <w:pPr>
        <w:widowControl w:val="0"/>
        <w:rPr>
          <w:rFonts w:ascii="Times New Roman" w:hAnsi="Times New Roman"/>
          <w:sz w:val="20"/>
        </w:rPr>
      </w:pPr>
      <w:r w:rsidRPr="00D73B2B">
        <w:rPr>
          <w:rFonts w:ascii="Times New Roman" w:hAnsi="Times New Roman"/>
          <w:sz w:val="20"/>
        </w:rPr>
        <w:t>Как показывают расчеты, применение накопителей энергии позволяет исключить просадку напряжения при больших кратковреме</w:t>
      </w:r>
      <w:r w:rsidRPr="00D73B2B">
        <w:rPr>
          <w:rFonts w:ascii="Times New Roman" w:hAnsi="Times New Roman"/>
          <w:sz w:val="20"/>
        </w:rPr>
        <w:t>н</w:t>
      </w:r>
      <w:r w:rsidRPr="00D73B2B">
        <w:rPr>
          <w:rFonts w:ascii="Times New Roman" w:hAnsi="Times New Roman"/>
          <w:sz w:val="20"/>
        </w:rPr>
        <w:t>ных нагрузках и увеличить длину секций тяговой сети на 60 … 100%, причем при низкой и</w:t>
      </w:r>
      <w:r w:rsidRPr="00D73B2B">
        <w:rPr>
          <w:rFonts w:ascii="Times New Roman" w:hAnsi="Times New Roman"/>
          <w:sz w:val="20"/>
        </w:rPr>
        <w:t>н</w:t>
      </w:r>
      <w:r w:rsidRPr="00D73B2B">
        <w:rPr>
          <w:rFonts w:ascii="Times New Roman" w:hAnsi="Times New Roman"/>
          <w:sz w:val="20"/>
        </w:rPr>
        <w:t>тенсивности движения эффективность применения накопителей энергии во</w:t>
      </w:r>
      <w:r w:rsidRPr="00D73B2B">
        <w:rPr>
          <w:rFonts w:ascii="Times New Roman" w:hAnsi="Times New Roman"/>
          <w:sz w:val="20"/>
        </w:rPr>
        <w:t>з</w:t>
      </w:r>
      <w:r w:rsidRPr="00D73B2B">
        <w:rPr>
          <w:rFonts w:ascii="Times New Roman" w:hAnsi="Times New Roman"/>
          <w:sz w:val="20"/>
        </w:rPr>
        <w:t>растает</w:t>
      </w:r>
      <w:r w:rsidR="008870B2">
        <w:rPr>
          <w:rFonts w:ascii="Times New Roman" w:hAnsi="Times New Roman"/>
          <w:sz w:val="20"/>
        </w:rPr>
        <w:t xml:space="preserve"> </w:t>
      </w:r>
      <w:r w:rsidR="008870B2" w:rsidRPr="008870B2">
        <w:rPr>
          <w:rFonts w:ascii="Times New Roman" w:hAnsi="Times New Roman"/>
          <w:sz w:val="20"/>
        </w:rPr>
        <w:t>[</w:t>
      </w:r>
      <w:r w:rsidR="003F0AA5">
        <w:rPr>
          <w:rFonts w:ascii="Times New Roman" w:hAnsi="Times New Roman"/>
          <w:sz w:val="20"/>
        </w:rPr>
        <w:t>4</w:t>
      </w:r>
      <w:r w:rsidR="008870B2" w:rsidRPr="008870B2">
        <w:rPr>
          <w:rFonts w:ascii="Times New Roman" w:hAnsi="Times New Roman"/>
          <w:sz w:val="20"/>
        </w:rPr>
        <w:t>]</w:t>
      </w:r>
      <w:r w:rsidRPr="00D73B2B">
        <w:rPr>
          <w:rFonts w:ascii="Times New Roman" w:hAnsi="Times New Roman"/>
          <w:sz w:val="20"/>
        </w:rPr>
        <w:t>. Требуемая мощность тяговых подстанций возрастает пропорци</w:t>
      </w:r>
      <w:r w:rsidRPr="00D73B2B">
        <w:rPr>
          <w:rFonts w:ascii="Times New Roman" w:hAnsi="Times New Roman"/>
          <w:sz w:val="20"/>
        </w:rPr>
        <w:t>о</w:t>
      </w:r>
      <w:r w:rsidRPr="00D73B2B">
        <w:rPr>
          <w:rFonts w:ascii="Times New Roman" w:hAnsi="Times New Roman"/>
          <w:sz w:val="20"/>
        </w:rPr>
        <w:t>нально длине секции.</w:t>
      </w:r>
    </w:p>
    <w:p w:rsidR="00D73B2B" w:rsidRDefault="000F2EE3" w:rsidP="00D73B2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моделирования представлены в таблице 1. </w:t>
      </w:r>
      <w:r w:rsidR="00D73B2B" w:rsidRPr="00D73B2B">
        <w:rPr>
          <w:rFonts w:ascii="Times New Roman" w:hAnsi="Times New Roman"/>
          <w:sz w:val="20"/>
        </w:rPr>
        <w:t>Основным факт</w:t>
      </w:r>
      <w:r w:rsidR="00D73B2B" w:rsidRPr="00D73B2B">
        <w:rPr>
          <w:rFonts w:ascii="Times New Roman" w:hAnsi="Times New Roman"/>
          <w:sz w:val="20"/>
        </w:rPr>
        <w:t>о</w:t>
      </w:r>
      <w:r w:rsidR="00D73B2B" w:rsidRPr="00D73B2B">
        <w:rPr>
          <w:rFonts w:ascii="Times New Roman" w:hAnsi="Times New Roman"/>
          <w:sz w:val="20"/>
        </w:rPr>
        <w:t xml:space="preserve">ром, лимитирующим длину секции, является равенство средних мощностей заряда и разряда накопителя. </w:t>
      </w:r>
      <w:r w:rsidR="00D73B2B">
        <w:rPr>
          <w:rFonts w:ascii="Times New Roman" w:hAnsi="Times New Roman"/>
          <w:sz w:val="20"/>
        </w:rPr>
        <w:t>Согласно результатам расчета, к</w:t>
      </w:r>
      <w:r w:rsidR="00D73B2B" w:rsidRPr="00D73B2B">
        <w:rPr>
          <w:rFonts w:ascii="Times New Roman" w:hAnsi="Times New Roman"/>
          <w:sz w:val="20"/>
        </w:rPr>
        <w:t>оординату у</w:t>
      </w:r>
      <w:r w:rsidR="00D73B2B" w:rsidRPr="00D73B2B">
        <w:rPr>
          <w:rFonts w:ascii="Times New Roman" w:hAnsi="Times New Roman"/>
          <w:sz w:val="20"/>
        </w:rPr>
        <w:t>с</w:t>
      </w:r>
      <w:r w:rsidR="00D73B2B" w:rsidRPr="00D73B2B">
        <w:rPr>
          <w:rFonts w:ascii="Times New Roman" w:hAnsi="Times New Roman"/>
          <w:sz w:val="20"/>
        </w:rPr>
        <w:t>тановки накопителя целесообразно пр</w:t>
      </w:r>
      <w:r w:rsidR="00D73B2B" w:rsidRPr="00D73B2B">
        <w:rPr>
          <w:rFonts w:ascii="Times New Roman" w:hAnsi="Times New Roman"/>
          <w:sz w:val="20"/>
        </w:rPr>
        <w:t>и</w:t>
      </w:r>
      <w:r w:rsidR="00D73B2B" w:rsidRPr="00D73B2B">
        <w:rPr>
          <w:rFonts w:ascii="Times New Roman" w:hAnsi="Times New Roman"/>
          <w:sz w:val="20"/>
        </w:rPr>
        <w:t>нимать около 90% от длины секции.</w:t>
      </w:r>
    </w:p>
    <w:p w:rsidR="00D73B2B" w:rsidRPr="00D73B2B" w:rsidRDefault="00D73B2B" w:rsidP="00D73B2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Более точным методом определения эффекта от применения накоп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тельных пунктов является применение имитационных моделей, использу</w:t>
      </w:r>
      <w:r>
        <w:rPr>
          <w:rFonts w:ascii="Times New Roman" w:hAnsi="Times New Roman"/>
          <w:sz w:val="20"/>
        </w:rPr>
        <w:t>ю</w:t>
      </w:r>
      <w:r>
        <w:rPr>
          <w:rFonts w:ascii="Times New Roman" w:hAnsi="Times New Roman"/>
          <w:sz w:val="20"/>
        </w:rPr>
        <w:t>щих метод расчета мгновенных схем замещения тяговой сети</w:t>
      </w:r>
      <w:r w:rsidRPr="00D73B2B">
        <w:rPr>
          <w:rFonts w:ascii="Times New Roman" w:hAnsi="Times New Roman"/>
          <w:sz w:val="20"/>
        </w:rPr>
        <w:t xml:space="preserve"> [</w:t>
      </w:r>
      <w:r w:rsidR="003F0AA5">
        <w:rPr>
          <w:rFonts w:ascii="Times New Roman" w:hAnsi="Times New Roman"/>
          <w:sz w:val="20"/>
        </w:rPr>
        <w:t>2, 7</w:t>
      </w:r>
      <w:r w:rsidRPr="00D73B2B">
        <w:rPr>
          <w:rFonts w:ascii="Times New Roman" w:hAnsi="Times New Roman"/>
          <w:sz w:val="20"/>
        </w:rPr>
        <w:t xml:space="preserve">]. </w:t>
      </w:r>
      <w:r>
        <w:rPr>
          <w:rFonts w:ascii="Times New Roman" w:hAnsi="Times New Roman"/>
          <w:sz w:val="20"/>
        </w:rPr>
        <w:t>Для его применения является необходимой реализация модели накопителя энергии в составе систем тягового энергоснабжения.</w:t>
      </w:r>
      <w:r w:rsidR="00E32DA9">
        <w:rPr>
          <w:rFonts w:ascii="Times New Roman" w:hAnsi="Times New Roman"/>
          <w:sz w:val="20"/>
        </w:rPr>
        <w:t xml:space="preserve"> В модели накопитель энергии я</w:t>
      </w:r>
      <w:r w:rsidR="00E32DA9">
        <w:rPr>
          <w:rFonts w:ascii="Times New Roman" w:hAnsi="Times New Roman"/>
          <w:sz w:val="20"/>
        </w:rPr>
        <w:t>в</w:t>
      </w:r>
      <w:r w:rsidR="00E32DA9">
        <w:rPr>
          <w:rFonts w:ascii="Times New Roman" w:hAnsi="Times New Roman"/>
          <w:sz w:val="20"/>
        </w:rPr>
        <w:t>ляется нелинейным элементом.</w:t>
      </w:r>
      <w:r w:rsidR="00AA274E">
        <w:rPr>
          <w:rFonts w:ascii="Times New Roman" w:hAnsi="Times New Roman"/>
          <w:sz w:val="20"/>
        </w:rPr>
        <w:t xml:space="preserve"> Он им</w:t>
      </w:r>
      <w:r w:rsidR="00AA274E">
        <w:rPr>
          <w:rFonts w:ascii="Times New Roman" w:hAnsi="Times New Roman"/>
          <w:sz w:val="20"/>
        </w:rPr>
        <w:t>е</w:t>
      </w:r>
      <w:r w:rsidR="00AA274E">
        <w:rPr>
          <w:rFonts w:ascii="Times New Roman" w:hAnsi="Times New Roman"/>
          <w:sz w:val="20"/>
        </w:rPr>
        <w:t xml:space="preserve">ет ограничение по принимаемому и отдаваемому току, степени заряда. Для учета этих особенностей применен метод последовательных приближений. При решении систем уравнений, </w:t>
      </w:r>
      <w:proofErr w:type="gramStart"/>
      <w:r w:rsidR="00AA274E">
        <w:rPr>
          <w:rFonts w:ascii="Times New Roman" w:hAnsi="Times New Roman"/>
          <w:sz w:val="20"/>
        </w:rPr>
        <w:t>описывающей</w:t>
      </w:r>
      <w:proofErr w:type="gramEnd"/>
      <w:r w:rsidR="00AA274E">
        <w:rPr>
          <w:rFonts w:ascii="Times New Roman" w:hAnsi="Times New Roman"/>
          <w:sz w:val="20"/>
        </w:rPr>
        <w:t xml:space="preserve"> мгнове</w:t>
      </w:r>
      <w:r w:rsidR="00AA274E">
        <w:rPr>
          <w:rFonts w:ascii="Times New Roman" w:hAnsi="Times New Roman"/>
          <w:sz w:val="20"/>
        </w:rPr>
        <w:t>н</w:t>
      </w:r>
      <w:r w:rsidR="00AA274E">
        <w:rPr>
          <w:rFonts w:ascii="Times New Roman" w:hAnsi="Times New Roman"/>
          <w:sz w:val="20"/>
        </w:rPr>
        <w:t>ную схему замещения, последовательно уточняется ток накопителя. В результате определяется фактическое напряжение ко</w:t>
      </w:r>
      <w:r w:rsidR="00AA274E">
        <w:rPr>
          <w:rFonts w:ascii="Times New Roman" w:hAnsi="Times New Roman"/>
          <w:sz w:val="20"/>
        </w:rPr>
        <w:t>н</w:t>
      </w:r>
      <w:r w:rsidR="00AA274E">
        <w:rPr>
          <w:rFonts w:ascii="Times New Roman" w:hAnsi="Times New Roman"/>
          <w:sz w:val="20"/>
        </w:rPr>
        <w:t>тактной сети в точке подключения к ней накопительного пункта.</w:t>
      </w:r>
    </w:p>
    <w:p w:rsidR="000F2EE3" w:rsidRPr="000F2EE3" w:rsidRDefault="000F2EE3" w:rsidP="000F2EE3">
      <w:pPr>
        <w:rPr>
          <w:rFonts w:ascii="Times New Roman" w:hAnsi="Times New Roman"/>
          <w:sz w:val="18"/>
          <w:szCs w:val="18"/>
        </w:rPr>
      </w:pPr>
      <w:r w:rsidRPr="000F2EE3">
        <w:rPr>
          <w:rFonts w:ascii="Times New Roman" w:hAnsi="Times New Roman"/>
          <w:sz w:val="18"/>
          <w:szCs w:val="18"/>
        </w:rPr>
        <w:lastRenderedPageBreak/>
        <w:t xml:space="preserve">Таблица 1. </w:t>
      </w:r>
      <w:r w:rsidRPr="00F86E2B">
        <w:rPr>
          <w:rFonts w:ascii="Times New Roman" w:hAnsi="Times New Roman"/>
          <w:i/>
          <w:sz w:val="18"/>
          <w:szCs w:val="18"/>
        </w:rPr>
        <w:t>Расчет наибольшей допустимой длины секции тяговой сети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642"/>
        <w:gridCol w:w="708"/>
        <w:gridCol w:w="568"/>
        <w:gridCol w:w="851"/>
        <w:gridCol w:w="855"/>
        <w:gridCol w:w="846"/>
        <w:gridCol w:w="851"/>
      </w:tblGrid>
      <w:tr w:rsidR="000F2EE3" w:rsidRPr="000F2EE3" w:rsidTr="000F2EE3">
        <w:trPr>
          <w:cantSplit/>
          <w:trHeight w:val="2051"/>
          <w:jc w:val="center"/>
        </w:trPr>
        <w:tc>
          <w:tcPr>
            <w:tcW w:w="675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Интервал движ</w:t>
            </w:r>
            <w:r w:rsidRPr="000F2EE3">
              <w:rPr>
                <w:rFonts w:ascii="Times New Roman" w:hAnsi="Times New Roman"/>
                <w:sz w:val="20"/>
              </w:rPr>
              <w:t>е</w:t>
            </w:r>
            <w:r w:rsidRPr="000F2EE3">
              <w:rPr>
                <w:rFonts w:ascii="Times New Roman" w:hAnsi="Times New Roman"/>
                <w:sz w:val="20"/>
              </w:rPr>
              <w:t>ния, мин</w:t>
            </w:r>
          </w:p>
        </w:tc>
        <w:tc>
          <w:tcPr>
            <w:tcW w:w="642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Длина секции без НЭ, км</w:t>
            </w:r>
          </w:p>
        </w:tc>
        <w:tc>
          <w:tcPr>
            <w:tcW w:w="708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Длина секции с НЭ, км</w:t>
            </w:r>
          </w:p>
        </w:tc>
        <w:tc>
          <w:tcPr>
            <w:tcW w:w="568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 xml:space="preserve">Напряжение НЭ, </w:t>
            </w:r>
            <w:proofErr w:type="gramStart"/>
            <w:r w:rsidRPr="000F2EE3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851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Средняя мощность заряда и разряда, кВт</w:t>
            </w:r>
          </w:p>
        </w:tc>
        <w:tc>
          <w:tcPr>
            <w:tcW w:w="855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Наибольшая мо</w:t>
            </w:r>
            <w:r w:rsidRPr="000F2EE3">
              <w:rPr>
                <w:rFonts w:ascii="Times New Roman" w:hAnsi="Times New Roman"/>
                <w:sz w:val="20"/>
              </w:rPr>
              <w:t>щ</w:t>
            </w:r>
            <w:r w:rsidRPr="000F2EE3">
              <w:rPr>
                <w:rFonts w:ascii="Times New Roman" w:hAnsi="Times New Roman"/>
                <w:sz w:val="20"/>
              </w:rPr>
              <w:t>ность ра</w:t>
            </w:r>
            <w:r w:rsidRPr="000F2EE3">
              <w:rPr>
                <w:rFonts w:ascii="Times New Roman" w:hAnsi="Times New Roman"/>
                <w:sz w:val="20"/>
              </w:rPr>
              <w:t>з</w:t>
            </w:r>
            <w:r w:rsidRPr="000F2EE3">
              <w:rPr>
                <w:rFonts w:ascii="Times New Roman" w:hAnsi="Times New Roman"/>
                <w:sz w:val="20"/>
              </w:rPr>
              <w:t>ряда, кВт</w:t>
            </w:r>
          </w:p>
        </w:tc>
        <w:tc>
          <w:tcPr>
            <w:tcW w:w="846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Расстояние до нак</w:t>
            </w:r>
            <w:r w:rsidRPr="000F2EE3">
              <w:rPr>
                <w:rFonts w:ascii="Times New Roman" w:hAnsi="Times New Roman"/>
                <w:sz w:val="20"/>
              </w:rPr>
              <w:t>о</w:t>
            </w:r>
            <w:r w:rsidRPr="000F2EE3">
              <w:rPr>
                <w:rFonts w:ascii="Times New Roman" w:hAnsi="Times New Roman"/>
                <w:sz w:val="20"/>
              </w:rPr>
              <w:t>пителя эне</w:t>
            </w:r>
            <w:r w:rsidRPr="000F2EE3">
              <w:rPr>
                <w:rFonts w:ascii="Times New Roman" w:hAnsi="Times New Roman"/>
                <w:sz w:val="20"/>
              </w:rPr>
              <w:t>р</w:t>
            </w:r>
            <w:r w:rsidRPr="000F2EE3">
              <w:rPr>
                <w:rFonts w:ascii="Times New Roman" w:hAnsi="Times New Roman"/>
                <w:sz w:val="20"/>
              </w:rPr>
              <w:t xml:space="preserve">гии, </w:t>
            </w:r>
            <w:proofErr w:type="gramStart"/>
            <w:r w:rsidRPr="000F2EE3"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851" w:type="dxa"/>
            <w:textDirection w:val="btLr"/>
          </w:tcPr>
          <w:p w:rsidR="000F2EE3" w:rsidRPr="000F2EE3" w:rsidRDefault="000F2EE3" w:rsidP="000F2EE3">
            <w:pPr>
              <w:ind w:left="113" w:right="113" w:firstLine="0"/>
              <w:jc w:val="left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Энергоемкость н</w:t>
            </w:r>
            <w:r w:rsidRPr="000F2EE3">
              <w:rPr>
                <w:rFonts w:ascii="Times New Roman" w:hAnsi="Times New Roman"/>
                <w:sz w:val="20"/>
              </w:rPr>
              <w:t>а</w:t>
            </w:r>
            <w:r w:rsidRPr="000F2EE3">
              <w:rPr>
                <w:rFonts w:ascii="Times New Roman" w:hAnsi="Times New Roman"/>
                <w:sz w:val="20"/>
              </w:rPr>
              <w:t>копителя эне</w:t>
            </w:r>
            <w:r w:rsidRPr="000F2EE3">
              <w:rPr>
                <w:rFonts w:ascii="Times New Roman" w:hAnsi="Times New Roman"/>
                <w:sz w:val="20"/>
              </w:rPr>
              <w:t>р</w:t>
            </w:r>
            <w:r w:rsidRPr="000F2EE3">
              <w:rPr>
                <w:rFonts w:ascii="Times New Roman" w:hAnsi="Times New Roman"/>
                <w:sz w:val="20"/>
              </w:rPr>
              <w:t>гии, МДж</w:t>
            </w:r>
          </w:p>
        </w:tc>
      </w:tr>
      <w:tr w:rsidR="000F2EE3" w:rsidRPr="000F2EE3" w:rsidTr="000F2EE3">
        <w:trPr>
          <w:jc w:val="center"/>
        </w:trPr>
        <w:tc>
          <w:tcPr>
            <w:tcW w:w="67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2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70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56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20,4</w:t>
            </w:r>
          </w:p>
        </w:tc>
        <w:tc>
          <w:tcPr>
            <w:tcW w:w="85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46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2,65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2,45</w:t>
            </w:r>
          </w:p>
        </w:tc>
      </w:tr>
      <w:tr w:rsidR="000F2EE3" w:rsidRPr="000F2EE3" w:rsidTr="000F2EE3">
        <w:trPr>
          <w:jc w:val="center"/>
        </w:trPr>
        <w:tc>
          <w:tcPr>
            <w:tcW w:w="67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2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70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56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18,9</w:t>
            </w:r>
          </w:p>
        </w:tc>
        <w:tc>
          <w:tcPr>
            <w:tcW w:w="85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846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2,27</w:t>
            </w:r>
          </w:p>
        </w:tc>
      </w:tr>
      <w:tr w:rsidR="000F2EE3" w:rsidRPr="000F2EE3" w:rsidTr="000F2EE3">
        <w:trPr>
          <w:jc w:val="center"/>
        </w:trPr>
        <w:tc>
          <w:tcPr>
            <w:tcW w:w="67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42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0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w="56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85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846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1,90</w:t>
            </w:r>
          </w:p>
        </w:tc>
      </w:tr>
      <w:tr w:rsidR="000F2EE3" w:rsidRPr="000F2EE3" w:rsidTr="000F2EE3">
        <w:trPr>
          <w:jc w:val="center"/>
        </w:trPr>
        <w:tc>
          <w:tcPr>
            <w:tcW w:w="67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2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70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568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13,6</w:t>
            </w:r>
          </w:p>
        </w:tc>
        <w:tc>
          <w:tcPr>
            <w:tcW w:w="855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846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851" w:type="dxa"/>
          </w:tcPr>
          <w:p w:rsidR="000F2EE3" w:rsidRPr="000F2EE3" w:rsidRDefault="000F2EE3" w:rsidP="000F2E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F2EE3">
              <w:rPr>
                <w:rFonts w:ascii="Times New Roman" w:hAnsi="Times New Roman"/>
                <w:sz w:val="20"/>
              </w:rPr>
              <w:t>1,63</w:t>
            </w:r>
          </w:p>
        </w:tc>
      </w:tr>
    </w:tbl>
    <w:p w:rsidR="000F2EE3" w:rsidRPr="000F2EE3" w:rsidRDefault="000F2EE3" w:rsidP="00D73B2B">
      <w:pPr>
        <w:widowControl w:val="0"/>
        <w:rPr>
          <w:rFonts w:ascii="Times New Roman" w:hAnsi="Times New Roman"/>
          <w:sz w:val="20"/>
        </w:rPr>
      </w:pPr>
    </w:p>
    <w:p w:rsidR="00D73B2B" w:rsidRPr="00D73B2B" w:rsidRDefault="00D73B2B" w:rsidP="00D73B2B">
      <w:pPr>
        <w:widowControl w:val="0"/>
        <w:rPr>
          <w:rFonts w:ascii="Times New Roman" w:hAnsi="Times New Roman"/>
          <w:sz w:val="20"/>
        </w:rPr>
      </w:pPr>
      <w:r w:rsidRPr="000F2EE3">
        <w:rPr>
          <w:rFonts w:ascii="Times New Roman" w:hAnsi="Times New Roman"/>
          <w:sz w:val="20"/>
        </w:rPr>
        <w:t>Конструкция накопительного пункта должна предусматривать размещ</w:t>
      </w:r>
      <w:r w:rsidRPr="000F2EE3">
        <w:rPr>
          <w:rFonts w:ascii="Times New Roman" w:hAnsi="Times New Roman"/>
          <w:sz w:val="20"/>
        </w:rPr>
        <w:t>е</w:t>
      </w:r>
      <w:r w:rsidRPr="000F2EE3">
        <w:rPr>
          <w:rFonts w:ascii="Times New Roman" w:hAnsi="Times New Roman"/>
          <w:sz w:val="20"/>
        </w:rPr>
        <w:t xml:space="preserve">ние </w:t>
      </w:r>
      <w:r w:rsidR="002A1293">
        <w:rPr>
          <w:rFonts w:ascii="Times New Roman" w:hAnsi="Times New Roman"/>
          <w:sz w:val="20"/>
        </w:rPr>
        <w:t>самого</w:t>
      </w:r>
      <w:r w:rsidRPr="000F2EE3">
        <w:rPr>
          <w:rFonts w:ascii="Times New Roman" w:hAnsi="Times New Roman"/>
          <w:sz w:val="20"/>
        </w:rPr>
        <w:t xml:space="preserve"> накопителя</w:t>
      </w:r>
      <w:r w:rsidRPr="00D73B2B">
        <w:rPr>
          <w:rFonts w:ascii="Times New Roman" w:hAnsi="Times New Roman"/>
          <w:sz w:val="20"/>
        </w:rPr>
        <w:t xml:space="preserve"> и преобразователя напряжения. Для повышения КПД преобразователя диапазон колебаний напряжения конденсатора </w:t>
      </w:r>
      <w:r w:rsidR="002A1293">
        <w:rPr>
          <w:rFonts w:ascii="Times New Roman" w:hAnsi="Times New Roman"/>
          <w:sz w:val="20"/>
        </w:rPr>
        <w:t xml:space="preserve">(в случае применения КДЭС) </w:t>
      </w:r>
      <w:r w:rsidRPr="00D73B2B">
        <w:rPr>
          <w:rFonts w:ascii="Times New Roman" w:hAnsi="Times New Roman"/>
          <w:sz w:val="20"/>
        </w:rPr>
        <w:t xml:space="preserve">целесообразно выбирать близким к диапазону колебаний напряжения тяговой сети, например, 350 … 700 В. </w:t>
      </w:r>
      <w:r>
        <w:rPr>
          <w:rFonts w:ascii="Times New Roman" w:hAnsi="Times New Roman"/>
          <w:sz w:val="20"/>
        </w:rPr>
        <w:t>Согласно результатам м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делирования, п</w:t>
      </w:r>
      <w:r w:rsidRPr="00D73B2B">
        <w:rPr>
          <w:rFonts w:ascii="Times New Roman" w:hAnsi="Times New Roman"/>
          <w:sz w:val="20"/>
        </w:rPr>
        <w:t xml:space="preserve">олная энергоемкость накопителя с учетом неиспользуемого запаса энергии составит 0,6 … 0,9 </w:t>
      </w:r>
      <w:proofErr w:type="spellStart"/>
      <w:proofErr w:type="gramStart"/>
      <w:r w:rsidRPr="00D73B2B">
        <w:rPr>
          <w:rFonts w:ascii="Times New Roman" w:hAnsi="Times New Roman"/>
          <w:sz w:val="20"/>
        </w:rPr>
        <w:t>кВт-ч</w:t>
      </w:r>
      <w:proofErr w:type="spellEnd"/>
      <w:proofErr w:type="gramEnd"/>
      <w:r w:rsidRPr="00D73B2B">
        <w:rPr>
          <w:rFonts w:ascii="Times New Roman" w:hAnsi="Times New Roman"/>
          <w:sz w:val="20"/>
        </w:rPr>
        <w:t xml:space="preserve"> в зависимости от интенсивности движения. При удельной энергоемкости конденсаторов двойного электрич</w:t>
      </w:r>
      <w:r w:rsidRPr="00D73B2B">
        <w:rPr>
          <w:rFonts w:ascii="Times New Roman" w:hAnsi="Times New Roman"/>
          <w:sz w:val="20"/>
        </w:rPr>
        <w:t>е</w:t>
      </w:r>
      <w:r w:rsidRPr="00D73B2B">
        <w:rPr>
          <w:rFonts w:ascii="Times New Roman" w:hAnsi="Times New Roman"/>
          <w:sz w:val="20"/>
        </w:rPr>
        <w:t>ского слоя 4 Вт-ч/</w:t>
      </w:r>
      <w:proofErr w:type="gramStart"/>
      <w:r w:rsidRPr="00D73B2B">
        <w:rPr>
          <w:rFonts w:ascii="Times New Roman" w:hAnsi="Times New Roman"/>
          <w:sz w:val="20"/>
        </w:rPr>
        <w:t>кг</w:t>
      </w:r>
      <w:proofErr w:type="gramEnd"/>
      <w:r w:rsidRPr="00D73B2B">
        <w:rPr>
          <w:rFonts w:ascii="Times New Roman" w:hAnsi="Times New Roman"/>
          <w:sz w:val="20"/>
        </w:rPr>
        <w:t xml:space="preserve"> вес накопителя составит 150 … 250 кг, а объем при плотности энергии 8 Вт-ч/л – 0,07 … 0,12 м</w:t>
      </w:r>
      <w:r w:rsidRPr="00D73B2B">
        <w:rPr>
          <w:rFonts w:ascii="Times New Roman" w:hAnsi="Times New Roman"/>
          <w:sz w:val="20"/>
          <w:vertAlign w:val="superscript"/>
        </w:rPr>
        <w:t>3</w:t>
      </w:r>
      <w:r w:rsidRPr="00D73B2B">
        <w:rPr>
          <w:rFonts w:ascii="Times New Roman" w:hAnsi="Times New Roman"/>
          <w:sz w:val="20"/>
        </w:rPr>
        <w:t xml:space="preserve"> [</w:t>
      </w:r>
      <w:r w:rsidR="003F0AA5">
        <w:rPr>
          <w:rFonts w:ascii="Times New Roman" w:hAnsi="Times New Roman"/>
          <w:sz w:val="20"/>
        </w:rPr>
        <w:t>4</w:t>
      </w:r>
      <w:r w:rsidRPr="00D73B2B">
        <w:rPr>
          <w:rFonts w:ascii="Times New Roman" w:hAnsi="Times New Roman"/>
          <w:sz w:val="20"/>
        </w:rPr>
        <w:t>]. Таким образом, размещение накопительного пункта не требует строительства спец</w:t>
      </w:r>
      <w:r w:rsidRPr="00D73B2B">
        <w:rPr>
          <w:rFonts w:ascii="Times New Roman" w:hAnsi="Times New Roman"/>
          <w:sz w:val="20"/>
        </w:rPr>
        <w:t>и</w:t>
      </w:r>
      <w:r w:rsidRPr="00D73B2B">
        <w:rPr>
          <w:rFonts w:ascii="Times New Roman" w:hAnsi="Times New Roman"/>
          <w:sz w:val="20"/>
        </w:rPr>
        <w:t>альных зданий.</w:t>
      </w:r>
    </w:p>
    <w:p w:rsidR="00D73B2B" w:rsidRDefault="00D73B2B" w:rsidP="00D73B2B">
      <w:pPr>
        <w:widowControl w:val="0"/>
        <w:rPr>
          <w:rFonts w:ascii="Times New Roman" w:hAnsi="Times New Roman"/>
          <w:sz w:val="20"/>
        </w:rPr>
      </w:pPr>
      <w:r w:rsidRPr="00D73B2B">
        <w:rPr>
          <w:rFonts w:ascii="Times New Roman" w:hAnsi="Times New Roman"/>
          <w:sz w:val="20"/>
        </w:rPr>
        <w:t>Преобразователи накопительных установок по уровням напряжения и номинальной мощности весьма близки к тяговым преобразователям тролле</w:t>
      </w:r>
      <w:r w:rsidRPr="00D73B2B">
        <w:rPr>
          <w:rFonts w:ascii="Times New Roman" w:hAnsi="Times New Roman"/>
          <w:sz w:val="20"/>
        </w:rPr>
        <w:t>й</w:t>
      </w:r>
      <w:r w:rsidRPr="00D73B2B">
        <w:rPr>
          <w:rFonts w:ascii="Times New Roman" w:hAnsi="Times New Roman"/>
          <w:sz w:val="20"/>
        </w:rPr>
        <w:t>бусов с коллекторными тяговыми двигателями и могут быть изготовлены на их основе. Необходимые доработки состоят в исключении силовой цепи р</w:t>
      </w:r>
      <w:r w:rsidRPr="00D73B2B">
        <w:rPr>
          <w:rFonts w:ascii="Times New Roman" w:hAnsi="Times New Roman"/>
          <w:sz w:val="20"/>
        </w:rPr>
        <w:t>е</w:t>
      </w:r>
      <w:r w:rsidRPr="00D73B2B">
        <w:rPr>
          <w:rFonts w:ascii="Times New Roman" w:hAnsi="Times New Roman"/>
          <w:sz w:val="20"/>
        </w:rPr>
        <w:t>гулирования возбуждения и в изменении программы системы управления.</w:t>
      </w:r>
      <w:r>
        <w:rPr>
          <w:rFonts w:ascii="Times New Roman" w:hAnsi="Times New Roman"/>
          <w:sz w:val="20"/>
        </w:rPr>
        <w:t xml:space="preserve"> </w:t>
      </w:r>
    </w:p>
    <w:p w:rsidR="00D73B2B" w:rsidRPr="00D73B2B" w:rsidRDefault="00D73B2B" w:rsidP="00D73B2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Стоимость накопительного пункта значительно ниже </w:t>
      </w:r>
      <w:r w:rsidRPr="00D73B2B">
        <w:rPr>
          <w:rFonts w:ascii="Times New Roman" w:hAnsi="Times New Roman"/>
          <w:sz w:val="20"/>
        </w:rPr>
        <w:t>стоимости стро</w:t>
      </w:r>
      <w:r w:rsidRPr="00D73B2B">
        <w:rPr>
          <w:rFonts w:ascii="Times New Roman" w:hAnsi="Times New Roman"/>
          <w:sz w:val="20"/>
        </w:rPr>
        <w:t>и</w:t>
      </w:r>
      <w:r w:rsidRPr="00D73B2B">
        <w:rPr>
          <w:rFonts w:ascii="Times New Roman" w:hAnsi="Times New Roman"/>
          <w:sz w:val="20"/>
        </w:rPr>
        <w:t>тельства новой тяговой подстанции</w:t>
      </w:r>
      <w:r>
        <w:rPr>
          <w:rFonts w:ascii="Times New Roman" w:hAnsi="Times New Roman"/>
          <w:sz w:val="20"/>
        </w:rPr>
        <w:t>, что подтверждает эффективность пре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лагаемого решения даже при относительно небольшом выигрыше по длине секций тяговой сети</w:t>
      </w:r>
      <w:r w:rsidRPr="00D73B2B">
        <w:rPr>
          <w:rFonts w:ascii="Times New Roman" w:hAnsi="Times New Roman"/>
          <w:sz w:val="20"/>
        </w:rPr>
        <w:t>.</w:t>
      </w:r>
      <w:r w:rsidR="009C3145">
        <w:rPr>
          <w:rFonts w:ascii="Times New Roman" w:hAnsi="Times New Roman"/>
          <w:sz w:val="20"/>
        </w:rPr>
        <w:t xml:space="preserve"> Большое значение имеет применение накопительных постов в зимнее время, так как с вызва</w:t>
      </w:r>
      <w:r w:rsidR="009C3145">
        <w:rPr>
          <w:rFonts w:ascii="Times New Roman" w:hAnsi="Times New Roman"/>
          <w:sz w:val="20"/>
        </w:rPr>
        <w:t>н</w:t>
      </w:r>
      <w:r w:rsidR="009C3145">
        <w:rPr>
          <w:rFonts w:ascii="Times New Roman" w:hAnsi="Times New Roman"/>
          <w:sz w:val="20"/>
        </w:rPr>
        <w:t>ным работой отопительных приборов ростом мощности собстве</w:t>
      </w:r>
      <w:r w:rsidR="009C3145">
        <w:rPr>
          <w:rFonts w:ascii="Times New Roman" w:hAnsi="Times New Roman"/>
          <w:sz w:val="20"/>
        </w:rPr>
        <w:t>н</w:t>
      </w:r>
      <w:r w:rsidR="009C3145">
        <w:rPr>
          <w:rFonts w:ascii="Times New Roman" w:hAnsi="Times New Roman"/>
          <w:sz w:val="20"/>
        </w:rPr>
        <w:t>ных нужд возрастают потери энергии в тяговых сетях</w:t>
      </w:r>
      <w:r w:rsidR="008870B2">
        <w:rPr>
          <w:rFonts w:ascii="Times New Roman" w:hAnsi="Times New Roman"/>
          <w:sz w:val="20"/>
        </w:rPr>
        <w:t xml:space="preserve"> </w:t>
      </w:r>
      <w:r w:rsidR="008870B2" w:rsidRPr="008870B2">
        <w:rPr>
          <w:rFonts w:ascii="Times New Roman" w:hAnsi="Times New Roman"/>
          <w:sz w:val="20"/>
        </w:rPr>
        <w:t>[</w:t>
      </w:r>
      <w:r w:rsidR="003F0AA5">
        <w:rPr>
          <w:rFonts w:ascii="Times New Roman" w:hAnsi="Times New Roman"/>
          <w:sz w:val="20"/>
        </w:rPr>
        <w:t>6</w:t>
      </w:r>
      <w:r w:rsidR="008870B2" w:rsidRPr="008870B2">
        <w:rPr>
          <w:rFonts w:ascii="Times New Roman" w:hAnsi="Times New Roman"/>
          <w:sz w:val="20"/>
        </w:rPr>
        <w:t>]</w:t>
      </w:r>
      <w:r w:rsidR="009C3145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Другим преимуществом предлагаемого решения является повыш</w:t>
      </w: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>ние надежности работы системы электроснабжения.</w:t>
      </w:r>
      <w:proofErr w:type="gramEnd"/>
      <w:r w:rsidRPr="00D73B2B">
        <w:rPr>
          <w:rFonts w:ascii="Times New Roman" w:hAnsi="Times New Roman"/>
          <w:sz w:val="20"/>
        </w:rPr>
        <w:t xml:space="preserve"> Эффективность прим</w:t>
      </w:r>
      <w:r w:rsidRPr="00D73B2B">
        <w:rPr>
          <w:rFonts w:ascii="Times New Roman" w:hAnsi="Times New Roman"/>
          <w:sz w:val="20"/>
        </w:rPr>
        <w:t>е</w:t>
      </w:r>
      <w:r w:rsidRPr="00D73B2B">
        <w:rPr>
          <w:rFonts w:ascii="Times New Roman" w:hAnsi="Times New Roman"/>
          <w:sz w:val="20"/>
        </w:rPr>
        <w:t>нения накоп</w:t>
      </w:r>
      <w:r w:rsidRPr="00D73B2B">
        <w:rPr>
          <w:rFonts w:ascii="Times New Roman" w:hAnsi="Times New Roman"/>
          <w:sz w:val="20"/>
        </w:rPr>
        <w:t>и</w:t>
      </w:r>
      <w:r w:rsidRPr="00D73B2B">
        <w:rPr>
          <w:rFonts w:ascii="Times New Roman" w:hAnsi="Times New Roman"/>
          <w:sz w:val="20"/>
        </w:rPr>
        <w:t xml:space="preserve">тельных пунктов в системе электроснабжения трамвая будет ниже вследствие меньшего удельного сопротивления тяговой сети, а также высокой доли путей в </w:t>
      </w:r>
      <w:r>
        <w:rPr>
          <w:rFonts w:ascii="Times New Roman" w:hAnsi="Times New Roman"/>
          <w:sz w:val="20"/>
        </w:rPr>
        <w:t>капитальных затратах, связанных со</w:t>
      </w:r>
      <w:r w:rsidRPr="00D73B2B">
        <w:rPr>
          <w:rFonts w:ascii="Times New Roman" w:hAnsi="Times New Roman"/>
          <w:sz w:val="20"/>
        </w:rPr>
        <w:t xml:space="preserve"> строител</w:t>
      </w:r>
      <w:r w:rsidRPr="00D73B2B">
        <w:rPr>
          <w:rFonts w:ascii="Times New Roman" w:hAnsi="Times New Roman"/>
          <w:sz w:val="20"/>
        </w:rPr>
        <w:t>ь</w:t>
      </w:r>
      <w:r w:rsidRPr="00D73B2B">
        <w:rPr>
          <w:rFonts w:ascii="Times New Roman" w:hAnsi="Times New Roman"/>
          <w:sz w:val="20"/>
        </w:rPr>
        <w:t>ств</w:t>
      </w:r>
      <w:r>
        <w:rPr>
          <w:rFonts w:ascii="Times New Roman" w:hAnsi="Times New Roman"/>
          <w:sz w:val="20"/>
        </w:rPr>
        <w:t>ом</w:t>
      </w:r>
      <w:r w:rsidRPr="00D73B2B">
        <w:rPr>
          <w:rFonts w:ascii="Times New Roman" w:hAnsi="Times New Roman"/>
          <w:sz w:val="20"/>
        </w:rPr>
        <w:t xml:space="preserve"> новых л</w:t>
      </w:r>
      <w:r w:rsidRPr="00D73B2B">
        <w:rPr>
          <w:rFonts w:ascii="Times New Roman" w:hAnsi="Times New Roman"/>
          <w:sz w:val="20"/>
        </w:rPr>
        <w:t>и</w:t>
      </w:r>
      <w:r w:rsidRPr="00D73B2B">
        <w:rPr>
          <w:rFonts w:ascii="Times New Roman" w:hAnsi="Times New Roman"/>
          <w:sz w:val="20"/>
        </w:rPr>
        <w:t>ний.</w:t>
      </w:r>
    </w:p>
    <w:p w:rsidR="00D73B2B" w:rsidRPr="00737BA5" w:rsidRDefault="00D73B2B" w:rsidP="00D73B2B">
      <w:pPr>
        <w:widowControl w:val="0"/>
        <w:rPr>
          <w:rFonts w:ascii="Times New Roman" w:hAnsi="Times New Roman"/>
          <w:sz w:val="20"/>
        </w:rPr>
      </w:pPr>
      <w:r w:rsidRPr="00737BA5">
        <w:rPr>
          <w:rFonts w:ascii="Times New Roman" w:hAnsi="Times New Roman"/>
          <w:sz w:val="20"/>
        </w:rPr>
        <w:t>Работа выполнена при поддержке гранта РФФИ 16-08-00656-а.</w:t>
      </w:r>
    </w:p>
    <w:p w:rsidR="00D73B2B" w:rsidRPr="00737BA5" w:rsidRDefault="00D73B2B" w:rsidP="00D73B2B">
      <w:pPr>
        <w:widowControl w:val="0"/>
        <w:rPr>
          <w:rFonts w:ascii="Times New Roman" w:hAnsi="Times New Roman"/>
          <w:sz w:val="20"/>
        </w:rPr>
      </w:pPr>
    </w:p>
    <w:p w:rsidR="00D73B2B" w:rsidRPr="00D73B2B" w:rsidRDefault="00D73B2B" w:rsidP="00D73B2B">
      <w:pPr>
        <w:widowControl w:val="0"/>
        <w:jc w:val="center"/>
        <w:rPr>
          <w:rFonts w:ascii="Times New Roman" w:hAnsi="Times New Roman"/>
          <w:b/>
          <w:sz w:val="20"/>
          <w:lang w:val="en-US"/>
        </w:rPr>
      </w:pPr>
      <w:r w:rsidRPr="00737BA5">
        <w:rPr>
          <w:rFonts w:ascii="Times New Roman" w:hAnsi="Times New Roman"/>
          <w:b/>
          <w:sz w:val="20"/>
        </w:rPr>
        <w:t>Список</w:t>
      </w:r>
      <w:r w:rsidRPr="00D73B2B">
        <w:rPr>
          <w:rFonts w:ascii="Times New Roman" w:hAnsi="Times New Roman"/>
          <w:b/>
          <w:sz w:val="20"/>
          <w:lang w:val="en-US"/>
        </w:rPr>
        <w:t xml:space="preserve"> </w:t>
      </w:r>
      <w:r w:rsidRPr="00737BA5">
        <w:rPr>
          <w:rFonts w:ascii="Times New Roman" w:hAnsi="Times New Roman"/>
          <w:b/>
          <w:sz w:val="20"/>
        </w:rPr>
        <w:t>литературы</w:t>
      </w:r>
    </w:p>
    <w:p w:rsidR="00D73B2B" w:rsidRPr="00D73B2B" w:rsidRDefault="00D73B2B" w:rsidP="00D73B2B">
      <w:pPr>
        <w:widowControl w:val="0"/>
        <w:rPr>
          <w:rFonts w:ascii="Times New Roman" w:hAnsi="Times New Roman"/>
          <w:sz w:val="20"/>
          <w:lang w:val="en-US"/>
        </w:rPr>
      </w:pPr>
    </w:p>
    <w:p w:rsidR="00D73B2B" w:rsidRDefault="003F0AA5" w:rsidP="00D73B2B">
      <w:pPr>
        <w:widowControl w:val="0"/>
        <w:rPr>
          <w:rFonts w:ascii="Times New Roman" w:hAnsi="Times New Roman"/>
          <w:sz w:val="20"/>
        </w:rPr>
      </w:pPr>
      <w:r w:rsidRPr="003F0AA5">
        <w:rPr>
          <w:rFonts w:ascii="Times New Roman" w:hAnsi="Times New Roman"/>
          <w:sz w:val="20"/>
          <w:lang w:val="en-US"/>
        </w:rPr>
        <w:t>1</w:t>
      </w:r>
      <w:r w:rsidR="00D73B2B" w:rsidRPr="00737BA5">
        <w:rPr>
          <w:rFonts w:ascii="Times New Roman" w:hAnsi="Times New Roman"/>
          <w:sz w:val="20"/>
          <w:lang w:val="en-US"/>
        </w:rPr>
        <w:t xml:space="preserve">. </w:t>
      </w:r>
      <w:r w:rsidR="00D73B2B" w:rsidRPr="00737BA5">
        <w:rPr>
          <w:rFonts w:ascii="Times New Roman" w:hAnsi="Times New Roman"/>
          <w:i/>
          <w:sz w:val="20"/>
          <w:lang w:val="en-US"/>
        </w:rPr>
        <w:t>Spiridonov</w:t>
      </w:r>
      <w:r w:rsidR="002A6824" w:rsidRPr="002A6824">
        <w:rPr>
          <w:rFonts w:ascii="Times New Roman" w:hAnsi="Times New Roman"/>
          <w:i/>
          <w:sz w:val="20"/>
          <w:lang w:val="en-US"/>
        </w:rPr>
        <w:t>,</w:t>
      </w:r>
      <w:r w:rsidR="00D73B2B" w:rsidRPr="00737BA5">
        <w:rPr>
          <w:rFonts w:ascii="Times New Roman" w:hAnsi="Times New Roman"/>
          <w:i/>
          <w:sz w:val="20"/>
          <w:lang w:val="en-US"/>
        </w:rPr>
        <w:t xml:space="preserve"> E. </w:t>
      </w:r>
      <w:r w:rsidR="00D73B2B" w:rsidRPr="00737BA5">
        <w:rPr>
          <w:rFonts w:ascii="Times New Roman" w:hAnsi="Times New Roman"/>
          <w:sz w:val="20"/>
          <w:lang w:val="en-US"/>
        </w:rPr>
        <w:t>Evaluation of energy recuperation efficiency for operating conditions of city electric transport / E. Spiridonov, M. Yaroslavtsev // 11 Intern</w:t>
      </w:r>
      <w:r w:rsidR="00D73B2B" w:rsidRPr="00737BA5">
        <w:rPr>
          <w:rFonts w:ascii="Times New Roman" w:hAnsi="Times New Roman"/>
          <w:sz w:val="20"/>
          <w:lang w:val="en-US"/>
        </w:rPr>
        <w:t>a</w:t>
      </w:r>
      <w:r w:rsidR="00D73B2B" w:rsidRPr="00737BA5">
        <w:rPr>
          <w:rFonts w:ascii="Times New Roman" w:hAnsi="Times New Roman"/>
          <w:sz w:val="20"/>
          <w:lang w:val="en-US"/>
        </w:rPr>
        <w:t>tional forum on strategic technology (IFOST 2016) : proc., N</w:t>
      </w:r>
      <w:r w:rsidR="00D73B2B" w:rsidRPr="00737BA5">
        <w:rPr>
          <w:rFonts w:ascii="Times New Roman" w:hAnsi="Times New Roman"/>
          <w:sz w:val="20"/>
          <w:lang w:val="en-US"/>
        </w:rPr>
        <w:t>o</w:t>
      </w:r>
      <w:r w:rsidR="00D73B2B" w:rsidRPr="00737BA5">
        <w:rPr>
          <w:rFonts w:ascii="Times New Roman" w:hAnsi="Times New Roman"/>
          <w:sz w:val="20"/>
          <w:lang w:val="en-US"/>
        </w:rPr>
        <w:t>vosibirs</w:t>
      </w:r>
      <w:r w:rsidR="002A6824">
        <w:rPr>
          <w:rFonts w:ascii="Times New Roman" w:hAnsi="Times New Roman"/>
          <w:sz w:val="20"/>
          <w:lang w:val="en-US"/>
        </w:rPr>
        <w:t>k, 1–3 June 2016. – Novosibirsk</w:t>
      </w:r>
      <w:r w:rsidR="00D73B2B" w:rsidRPr="00737BA5">
        <w:rPr>
          <w:rFonts w:ascii="Times New Roman" w:hAnsi="Times New Roman"/>
          <w:sz w:val="20"/>
          <w:lang w:val="en-US"/>
        </w:rPr>
        <w:t>: NSTU, 2016</w:t>
      </w:r>
      <w:proofErr w:type="gramStart"/>
      <w:r w:rsidR="00D73B2B" w:rsidRPr="00737BA5">
        <w:rPr>
          <w:rFonts w:ascii="Times New Roman" w:hAnsi="Times New Roman"/>
          <w:sz w:val="20"/>
          <w:lang w:val="en-US"/>
        </w:rPr>
        <w:t>.–</w:t>
      </w:r>
      <w:proofErr w:type="gramEnd"/>
      <w:r w:rsidR="00D73B2B" w:rsidRPr="00737BA5">
        <w:rPr>
          <w:rFonts w:ascii="Times New Roman" w:hAnsi="Times New Roman"/>
          <w:sz w:val="20"/>
          <w:lang w:val="en-US"/>
        </w:rPr>
        <w:t xml:space="preserve"> Pt</w:t>
      </w:r>
      <w:r w:rsidR="00D73B2B" w:rsidRPr="00D73B2B">
        <w:rPr>
          <w:rFonts w:ascii="Times New Roman" w:hAnsi="Times New Roman"/>
          <w:sz w:val="20"/>
        </w:rPr>
        <w:t xml:space="preserve">. 2.– </w:t>
      </w:r>
      <w:r w:rsidR="00D73B2B" w:rsidRPr="00737BA5">
        <w:rPr>
          <w:rFonts w:ascii="Times New Roman" w:hAnsi="Times New Roman"/>
          <w:sz w:val="20"/>
          <w:lang w:val="en-US"/>
        </w:rPr>
        <w:t>P</w:t>
      </w:r>
      <w:r w:rsidR="00D73B2B" w:rsidRPr="00D73B2B">
        <w:rPr>
          <w:rFonts w:ascii="Times New Roman" w:hAnsi="Times New Roman"/>
          <w:sz w:val="20"/>
        </w:rPr>
        <w:t>. 61-64.</w:t>
      </w:r>
    </w:p>
    <w:p w:rsidR="003F0AA5" w:rsidRPr="00737BA5" w:rsidRDefault="003F0AA5" w:rsidP="003F0AA5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Pr="00737BA5">
        <w:rPr>
          <w:rFonts w:ascii="Times New Roman" w:hAnsi="Times New Roman"/>
          <w:sz w:val="20"/>
        </w:rPr>
        <w:t xml:space="preserve">. </w:t>
      </w:r>
      <w:r w:rsidR="002A6824" w:rsidRPr="002A6824">
        <w:rPr>
          <w:rFonts w:ascii="Times New Roman" w:hAnsi="Times New Roman"/>
          <w:i/>
          <w:sz w:val="20"/>
        </w:rPr>
        <w:t>Ярославцев, М. В.</w:t>
      </w:r>
      <w:r w:rsidR="002A6824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>Определение электрических потерь в тяговой сети городского эле</w:t>
      </w:r>
      <w:r w:rsidRPr="00737BA5">
        <w:rPr>
          <w:rFonts w:ascii="Times New Roman" w:hAnsi="Times New Roman"/>
          <w:sz w:val="20"/>
        </w:rPr>
        <w:t>к</w:t>
      </w:r>
      <w:r w:rsidRPr="00737BA5">
        <w:rPr>
          <w:rFonts w:ascii="Times New Roman" w:hAnsi="Times New Roman"/>
          <w:sz w:val="20"/>
        </w:rPr>
        <w:t xml:space="preserve">тротранспорта моделированием мгновенных схем замещения </w:t>
      </w:r>
      <w:r w:rsidR="002A6824">
        <w:rPr>
          <w:rFonts w:ascii="Times New Roman" w:hAnsi="Times New Roman"/>
          <w:sz w:val="20"/>
        </w:rPr>
        <w:t xml:space="preserve">/ </w:t>
      </w:r>
      <w:r w:rsidR="002A6824" w:rsidRPr="00737BA5">
        <w:rPr>
          <w:rFonts w:ascii="Times New Roman" w:hAnsi="Times New Roman"/>
          <w:sz w:val="20"/>
        </w:rPr>
        <w:t>М.</w:t>
      </w:r>
      <w:r w:rsidR="002A6824" w:rsidRP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 xml:space="preserve">В. </w:t>
      </w:r>
      <w:r w:rsidRPr="00737BA5">
        <w:rPr>
          <w:rFonts w:ascii="Times New Roman" w:hAnsi="Times New Roman"/>
          <w:sz w:val="20"/>
        </w:rPr>
        <w:t xml:space="preserve">Ярославцев </w:t>
      </w:r>
      <w:r w:rsidR="002A6824">
        <w:rPr>
          <w:rFonts w:ascii="Times New Roman" w:hAnsi="Times New Roman"/>
          <w:sz w:val="20"/>
        </w:rPr>
        <w:t>//</w:t>
      </w:r>
      <w:r w:rsidRPr="00737BA5">
        <w:rPr>
          <w:rFonts w:ascii="Times New Roman" w:hAnsi="Times New Roman"/>
          <w:sz w:val="20"/>
        </w:rPr>
        <w:t xml:space="preserve"> САПР и моделирование в современной электронике</w:t>
      </w:r>
      <w:r w:rsidR="002A6824">
        <w:rPr>
          <w:rFonts w:ascii="Times New Roman" w:hAnsi="Times New Roman"/>
          <w:sz w:val="20"/>
        </w:rPr>
        <w:t>:</w:t>
      </w:r>
      <w:r w:rsidRPr="00737BA5">
        <w:rPr>
          <w:rFonts w:ascii="Times New Roman" w:hAnsi="Times New Roman"/>
          <w:sz w:val="20"/>
        </w:rPr>
        <w:t xml:space="preserve"> </w:t>
      </w:r>
      <w:r w:rsidR="002A6824">
        <w:rPr>
          <w:rFonts w:ascii="Times New Roman" w:hAnsi="Times New Roman"/>
          <w:sz w:val="20"/>
        </w:rPr>
        <w:t>с</w:t>
      </w:r>
      <w:r w:rsidRPr="00737BA5">
        <w:rPr>
          <w:rFonts w:ascii="Times New Roman" w:hAnsi="Times New Roman"/>
          <w:sz w:val="20"/>
        </w:rPr>
        <w:t>борник научных трудов I Международной научно-практической конфере</w:t>
      </w:r>
      <w:r w:rsidRPr="00737BA5">
        <w:rPr>
          <w:rFonts w:ascii="Times New Roman" w:hAnsi="Times New Roman"/>
          <w:sz w:val="20"/>
        </w:rPr>
        <w:t>н</w:t>
      </w:r>
      <w:r w:rsidRPr="00737BA5">
        <w:rPr>
          <w:rFonts w:ascii="Times New Roman" w:hAnsi="Times New Roman"/>
          <w:sz w:val="20"/>
        </w:rPr>
        <w:t>ции</w:t>
      </w:r>
      <w:r w:rsidR="002A6824">
        <w:rPr>
          <w:rFonts w:ascii="Times New Roman" w:hAnsi="Times New Roman"/>
          <w:sz w:val="20"/>
        </w:rPr>
        <w:t>.–</w:t>
      </w:r>
      <w:r w:rsidRPr="00737BA5">
        <w:rPr>
          <w:rFonts w:ascii="Times New Roman" w:hAnsi="Times New Roman"/>
          <w:sz w:val="20"/>
        </w:rPr>
        <w:t xml:space="preserve"> 2017.</w:t>
      </w:r>
      <w:r w:rsidR="002A6824">
        <w:rPr>
          <w:rFonts w:ascii="Times New Roman" w:hAnsi="Times New Roman"/>
          <w:sz w:val="20"/>
        </w:rPr>
        <w:t>–</w:t>
      </w:r>
      <w:r w:rsidRPr="00737BA5">
        <w:rPr>
          <w:rFonts w:ascii="Times New Roman" w:hAnsi="Times New Roman"/>
          <w:sz w:val="20"/>
        </w:rPr>
        <w:t xml:space="preserve"> С. 109-112.</w:t>
      </w:r>
    </w:p>
    <w:p w:rsidR="003F0AA5" w:rsidRPr="002A6824" w:rsidRDefault="003F0AA5" w:rsidP="003F0AA5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Pr="00737BA5">
        <w:rPr>
          <w:rFonts w:ascii="Times New Roman" w:hAnsi="Times New Roman"/>
          <w:sz w:val="20"/>
        </w:rPr>
        <w:t xml:space="preserve">. </w:t>
      </w:r>
      <w:r w:rsidR="002A6824" w:rsidRPr="002A6824">
        <w:rPr>
          <w:rFonts w:ascii="Times New Roman" w:hAnsi="Times New Roman"/>
          <w:i/>
          <w:sz w:val="20"/>
        </w:rPr>
        <w:t>Штанг, А. А.</w:t>
      </w:r>
      <w:r w:rsidR="002A6824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>Применение накопителей энергии в системах электр</w:t>
      </w:r>
      <w:r w:rsidRPr="00737BA5">
        <w:rPr>
          <w:rFonts w:ascii="Times New Roman" w:hAnsi="Times New Roman"/>
          <w:sz w:val="20"/>
        </w:rPr>
        <w:t>о</w:t>
      </w:r>
      <w:r w:rsidRPr="00737BA5">
        <w:rPr>
          <w:rFonts w:ascii="Times New Roman" w:hAnsi="Times New Roman"/>
          <w:sz w:val="20"/>
        </w:rPr>
        <w:t>снабжения городского электрического транспорта</w:t>
      </w:r>
      <w:r w:rsidR="002A6824">
        <w:rPr>
          <w:rFonts w:ascii="Times New Roman" w:hAnsi="Times New Roman"/>
          <w:sz w:val="20"/>
        </w:rPr>
        <w:t xml:space="preserve"> /</w:t>
      </w:r>
      <w:r w:rsidRPr="00737BA5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А.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А.</w:t>
      </w:r>
      <w:r w:rsidR="002A6824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 xml:space="preserve">Штанг, </w:t>
      </w:r>
      <w:r w:rsidR="002A6824" w:rsidRPr="00737BA5">
        <w:rPr>
          <w:rFonts w:ascii="Times New Roman" w:hAnsi="Times New Roman"/>
          <w:sz w:val="20"/>
        </w:rPr>
        <w:t>Е.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А.</w:t>
      </w:r>
      <w:r w:rsidR="002A6824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>Сп</w:t>
      </w:r>
      <w:r w:rsidRPr="00737BA5">
        <w:rPr>
          <w:rFonts w:ascii="Times New Roman" w:hAnsi="Times New Roman"/>
          <w:sz w:val="20"/>
        </w:rPr>
        <w:t>и</w:t>
      </w:r>
      <w:r w:rsidRPr="00737BA5">
        <w:rPr>
          <w:rFonts w:ascii="Times New Roman" w:hAnsi="Times New Roman"/>
          <w:sz w:val="20"/>
        </w:rPr>
        <w:t xml:space="preserve">ридонов, </w:t>
      </w:r>
      <w:r w:rsidR="002A6824" w:rsidRPr="00737BA5">
        <w:rPr>
          <w:rFonts w:ascii="Times New Roman" w:hAnsi="Times New Roman"/>
          <w:sz w:val="20"/>
        </w:rPr>
        <w:t>М.</w:t>
      </w:r>
      <w:r w:rsidR="002A6824">
        <w:rPr>
          <w:rFonts w:ascii="Times New Roman" w:hAnsi="Times New Roman"/>
          <w:sz w:val="20"/>
        </w:rPr>
        <w:t> </w:t>
      </w:r>
      <w:r w:rsidR="002A6824" w:rsidRPr="00737BA5">
        <w:rPr>
          <w:rFonts w:ascii="Times New Roman" w:hAnsi="Times New Roman"/>
          <w:sz w:val="20"/>
        </w:rPr>
        <w:t>В.</w:t>
      </w:r>
      <w:r w:rsidR="002A6824">
        <w:rPr>
          <w:rFonts w:ascii="Times New Roman" w:hAnsi="Times New Roman"/>
          <w:sz w:val="20"/>
        </w:rPr>
        <w:t> </w:t>
      </w:r>
      <w:r w:rsidRPr="00737BA5">
        <w:rPr>
          <w:rFonts w:ascii="Times New Roman" w:hAnsi="Times New Roman"/>
          <w:sz w:val="20"/>
        </w:rPr>
        <w:t>Ярослав</w:t>
      </w:r>
      <w:r w:rsidR="002A6824">
        <w:rPr>
          <w:rFonts w:ascii="Times New Roman" w:hAnsi="Times New Roman"/>
          <w:sz w:val="20"/>
        </w:rPr>
        <w:t xml:space="preserve">цев // </w:t>
      </w:r>
      <w:r w:rsidRPr="00737BA5">
        <w:rPr>
          <w:rFonts w:ascii="Times New Roman" w:hAnsi="Times New Roman"/>
          <w:sz w:val="20"/>
        </w:rPr>
        <w:t>Транспорт Российской Фед</w:t>
      </w:r>
      <w:r w:rsidRPr="00737BA5">
        <w:rPr>
          <w:rFonts w:ascii="Times New Roman" w:hAnsi="Times New Roman"/>
          <w:sz w:val="20"/>
        </w:rPr>
        <w:t>е</w:t>
      </w:r>
      <w:r w:rsidRPr="00737BA5">
        <w:rPr>
          <w:rFonts w:ascii="Times New Roman" w:hAnsi="Times New Roman"/>
          <w:sz w:val="20"/>
        </w:rPr>
        <w:t>рации.</w:t>
      </w:r>
      <w:r w:rsidR="002A6824">
        <w:rPr>
          <w:rFonts w:ascii="Times New Roman" w:hAnsi="Times New Roman"/>
          <w:sz w:val="20"/>
        </w:rPr>
        <w:t>–</w:t>
      </w:r>
      <w:r w:rsidRPr="00737BA5">
        <w:rPr>
          <w:rFonts w:ascii="Times New Roman" w:hAnsi="Times New Roman"/>
          <w:sz w:val="20"/>
        </w:rPr>
        <w:t xml:space="preserve"> </w:t>
      </w:r>
      <w:r w:rsidRPr="002A6824">
        <w:rPr>
          <w:rFonts w:ascii="Times New Roman" w:hAnsi="Times New Roman"/>
          <w:sz w:val="20"/>
        </w:rPr>
        <w:t>2012.</w:t>
      </w:r>
      <w:r w:rsidR="002A6824">
        <w:rPr>
          <w:rFonts w:ascii="Times New Roman" w:hAnsi="Times New Roman"/>
          <w:sz w:val="20"/>
        </w:rPr>
        <w:t>–</w:t>
      </w:r>
      <w:r w:rsidRPr="002A6824">
        <w:rPr>
          <w:rFonts w:ascii="Times New Roman" w:hAnsi="Times New Roman"/>
          <w:sz w:val="20"/>
        </w:rPr>
        <w:t xml:space="preserve"> № 3-4 (40-41).</w:t>
      </w:r>
      <w:r w:rsidR="002A6824">
        <w:rPr>
          <w:rFonts w:ascii="Times New Roman" w:hAnsi="Times New Roman"/>
          <w:sz w:val="20"/>
        </w:rPr>
        <w:t>–</w:t>
      </w:r>
      <w:r w:rsidRPr="002A6824">
        <w:rPr>
          <w:rFonts w:ascii="Times New Roman" w:hAnsi="Times New Roman"/>
          <w:sz w:val="20"/>
        </w:rPr>
        <w:t xml:space="preserve"> </w:t>
      </w:r>
      <w:r w:rsidRPr="00737BA5">
        <w:rPr>
          <w:rFonts w:ascii="Times New Roman" w:hAnsi="Times New Roman"/>
          <w:sz w:val="20"/>
        </w:rPr>
        <w:t>С</w:t>
      </w:r>
      <w:r w:rsidRPr="002A6824">
        <w:rPr>
          <w:rFonts w:ascii="Times New Roman" w:hAnsi="Times New Roman"/>
          <w:sz w:val="20"/>
        </w:rPr>
        <w:t>. 68-70.</w:t>
      </w:r>
    </w:p>
    <w:p w:rsidR="003F0AA5" w:rsidRDefault="003F0AA5" w:rsidP="003F0AA5">
      <w:pPr>
        <w:widowControl w:val="0"/>
        <w:suppressAutoHyphens/>
        <w:rPr>
          <w:rFonts w:ascii="Times New Roman" w:hAnsi="Times New Roman"/>
          <w:sz w:val="20"/>
          <w:lang w:val="en-US"/>
        </w:rPr>
      </w:pPr>
      <w:r w:rsidRPr="003F0AA5">
        <w:rPr>
          <w:rFonts w:ascii="Times New Roman" w:hAnsi="Times New Roman"/>
          <w:sz w:val="20"/>
          <w:lang w:val="en-US"/>
        </w:rPr>
        <w:t>4</w:t>
      </w:r>
      <w:r w:rsidRPr="00737BA5">
        <w:rPr>
          <w:rFonts w:ascii="Times New Roman" w:hAnsi="Times New Roman"/>
          <w:sz w:val="20"/>
          <w:lang w:val="en-US"/>
        </w:rPr>
        <w:t xml:space="preserve">. </w:t>
      </w:r>
      <w:r w:rsidRPr="002A6824">
        <w:rPr>
          <w:rFonts w:ascii="Times New Roman" w:hAnsi="Times New Roman"/>
          <w:i/>
          <w:sz w:val="20"/>
          <w:lang w:val="en-US"/>
        </w:rPr>
        <w:t>Yaroslavtsev</w:t>
      </w:r>
      <w:r w:rsidR="002A6824" w:rsidRPr="002A6824">
        <w:rPr>
          <w:rFonts w:ascii="Times New Roman" w:hAnsi="Times New Roman"/>
          <w:i/>
          <w:sz w:val="20"/>
          <w:lang w:val="en-US"/>
        </w:rPr>
        <w:t>,</w:t>
      </w:r>
      <w:r w:rsidRPr="002A6824">
        <w:rPr>
          <w:rFonts w:ascii="Times New Roman" w:hAnsi="Times New Roman"/>
          <w:i/>
          <w:sz w:val="20"/>
          <w:lang w:val="en-US"/>
        </w:rPr>
        <w:t xml:space="preserve"> M. V.</w:t>
      </w:r>
      <w:r w:rsidRPr="00737BA5">
        <w:rPr>
          <w:rFonts w:ascii="Times New Roman" w:hAnsi="Times New Roman"/>
          <w:sz w:val="20"/>
          <w:lang w:val="en-US"/>
        </w:rPr>
        <w:t xml:space="preserve"> Increasing the Length of Trolleybus Contact Line Sections by Installation of Stationary Energy Storage Posts / M. V. Yaroslavtsev // The 19 international conference of young specialists on micro/nanotechnologies and electron devices, EDM 2018: proc., </w:t>
      </w:r>
      <w:proofErr w:type="spellStart"/>
      <w:r w:rsidRPr="00737BA5">
        <w:rPr>
          <w:rFonts w:ascii="Times New Roman" w:hAnsi="Times New Roman"/>
          <w:sz w:val="20"/>
          <w:lang w:val="en-US"/>
        </w:rPr>
        <w:t>Erlagol</w:t>
      </w:r>
      <w:proofErr w:type="spellEnd"/>
      <w:r w:rsidRPr="00737BA5">
        <w:rPr>
          <w:rFonts w:ascii="Times New Roman" w:hAnsi="Times New Roman"/>
          <w:sz w:val="20"/>
          <w:lang w:val="en-US"/>
        </w:rPr>
        <w:t>, A</w:t>
      </w:r>
      <w:r w:rsidRPr="00737BA5">
        <w:rPr>
          <w:rFonts w:ascii="Times New Roman" w:hAnsi="Times New Roman"/>
          <w:sz w:val="20"/>
          <w:lang w:val="en-US"/>
        </w:rPr>
        <w:t>l</w:t>
      </w:r>
      <w:r w:rsidRPr="00737BA5">
        <w:rPr>
          <w:rFonts w:ascii="Times New Roman" w:hAnsi="Times New Roman"/>
          <w:sz w:val="20"/>
          <w:lang w:val="en-US"/>
        </w:rPr>
        <w:t xml:space="preserve">tai, </w:t>
      </w:r>
      <w:r w:rsidR="002A6824">
        <w:rPr>
          <w:rFonts w:ascii="Times New Roman" w:hAnsi="Times New Roman"/>
          <w:sz w:val="20"/>
          <w:lang w:val="en-US"/>
        </w:rPr>
        <w:t>29 June – 3 July 2018.</w:t>
      </w:r>
      <w:r w:rsidRPr="00737BA5">
        <w:rPr>
          <w:rFonts w:ascii="Times New Roman" w:hAnsi="Times New Roman"/>
          <w:sz w:val="20"/>
          <w:lang w:val="en-US"/>
        </w:rPr>
        <w:t>– IEEE Computer Society, 2018. – P. 473-476</w:t>
      </w:r>
      <w:r w:rsidRPr="00AA274E">
        <w:rPr>
          <w:rFonts w:ascii="Times New Roman" w:hAnsi="Times New Roman"/>
          <w:sz w:val="20"/>
          <w:lang w:val="en-US"/>
        </w:rPr>
        <w:t>.</w:t>
      </w:r>
    </w:p>
    <w:p w:rsidR="00D73B2B" w:rsidRPr="00737BA5" w:rsidRDefault="003F0AA5" w:rsidP="00D73B2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D73B2B" w:rsidRPr="00737BA5">
        <w:rPr>
          <w:rFonts w:ascii="Times New Roman" w:hAnsi="Times New Roman"/>
          <w:sz w:val="20"/>
        </w:rPr>
        <w:t xml:space="preserve">. </w:t>
      </w:r>
      <w:r w:rsidR="00D73B2B" w:rsidRPr="00737BA5">
        <w:rPr>
          <w:rFonts w:ascii="Times New Roman" w:hAnsi="Times New Roman"/>
          <w:i/>
          <w:sz w:val="20"/>
        </w:rPr>
        <w:t>Ярославцев</w:t>
      </w:r>
      <w:r w:rsidR="002A6824">
        <w:rPr>
          <w:rFonts w:ascii="Times New Roman" w:hAnsi="Times New Roman"/>
          <w:i/>
          <w:sz w:val="20"/>
        </w:rPr>
        <w:t>,</w:t>
      </w:r>
      <w:r w:rsidR="00D73B2B" w:rsidRPr="00737BA5">
        <w:rPr>
          <w:rFonts w:ascii="Times New Roman" w:hAnsi="Times New Roman"/>
          <w:i/>
          <w:sz w:val="20"/>
        </w:rPr>
        <w:t xml:space="preserve"> М. В.</w:t>
      </w:r>
      <w:r w:rsidR="00D73B2B" w:rsidRPr="00737BA5">
        <w:rPr>
          <w:rFonts w:ascii="Times New Roman" w:hAnsi="Times New Roman"/>
          <w:sz w:val="20"/>
        </w:rPr>
        <w:t xml:space="preserve"> Определение параметров энергоустановки гибри</w:t>
      </w:r>
      <w:r w:rsidR="00D73B2B" w:rsidRPr="00737BA5">
        <w:rPr>
          <w:rFonts w:ascii="Times New Roman" w:hAnsi="Times New Roman"/>
          <w:sz w:val="20"/>
        </w:rPr>
        <w:t>д</w:t>
      </w:r>
      <w:r w:rsidR="00D73B2B" w:rsidRPr="00737BA5">
        <w:rPr>
          <w:rFonts w:ascii="Times New Roman" w:hAnsi="Times New Roman"/>
          <w:sz w:val="20"/>
        </w:rPr>
        <w:t>ного автомобиля моделированием процесса потребления энергии / М. В. Яр</w:t>
      </w:r>
      <w:r w:rsidR="00D73B2B" w:rsidRPr="00737BA5">
        <w:rPr>
          <w:rFonts w:ascii="Times New Roman" w:hAnsi="Times New Roman"/>
          <w:sz w:val="20"/>
        </w:rPr>
        <w:t>о</w:t>
      </w:r>
      <w:r w:rsidR="00D73B2B" w:rsidRPr="00737BA5">
        <w:rPr>
          <w:rFonts w:ascii="Times New Roman" w:hAnsi="Times New Roman"/>
          <w:sz w:val="20"/>
        </w:rPr>
        <w:t>славцев // Электротехн</w:t>
      </w:r>
      <w:r w:rsidR="00D73B2B" w:rsidRPr="00737BA5">
        <w:rPr>
          <w:rFonts w:ascii="Times New Roman" w:hAnsi="Times New Roman"/>
          <w:sz w:val="20"/>
        </w:rPr>
        <w:t>и</w:t>
      </w:r>
      <w:r w:rsidR="00D73B2B" w:rsidRPr="00737BA5">
        <w:rPr>
          <w:rFonts w:ascii="Times New Roman" w:hAnsi="Times New Roman"/>
          <w:sz w:val="20"/>
        </w:rPr>
        <w:t>ка.– 2014.– № 12. – С. 17-21.</w:t>
      </w:r>
    </w:p>
    <w:p w:rsidR="00D73B2B" w:rsidRPr="00737BA5" w:rsidRDefault="003F0AA5" w:rsidP="00D73B2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D73B2B" w:rsidRPr="00737BA5">
        <w:rPr>
          <w:rFonts w:ascii="Times New Roman" w:hAnsi="Times New Roman"/>
          <w:sz w:val="20"/>
        </w:rPr>
        <w:t xml:space="preserve">. </w:t>
      </w:r>
      <w:r w:rsidR="002A6824" w:rsidRPr="002A6824">
        <w:rPr>
          <w:rFonts w:ascii="Times New Roman" w:hAnsi="Times New Roman"/>
          <w:i/>
          <w:sz w:val="20"/>
        </w:rPr>
        <w:t>Мятеж, А. В.</w:t>
      </w:r>
      <w:r w:rsidR="002A6824">
        <w:rPr>
          <w:rFonts w:ascii="Times New Roman" w:hAnsi="Times New Roman"/>
          <w:sz w:val="20"/>
        </w:rPr>
        <w:t xml:space="preserve"> </w:t>
      </w:r>
      <w:r w:rsidR="00D73B2B" w:rsidRPr="00737BA5">
        <w:rPr>
          <w:rFonts w:ascii="Times New Roman" w:hAnsi="Times New Roman"/>
          <w:sz w:val="20"/>
        </w:rPr>
        <w:t>Исследование сезонных изменений потребления эле</w:t>
      </w:r>
      <w:r w:rsidR="00D73B2B" w:rsidRPr="00737BA5">
        <w:rPr>
          <w:rFonts w:ascii="Times New Roman" w:hAnsi="Times New Roman"/>
          <w:sz w:val="20"/>
        </w:rPr>
        <w:t>к</w:t>
      </w:r>
      <w:r w:rsidR="00D73B2B" w:rsidRPr="00737BA5">
        <w:rPr>
          <w:rFonts w:ascii="Times New Roman" w:hAnsi="Times New Roman"/>
          <w:sz w:val="20"/>
        </w:rPr>
        <w:t xml:space="preserve">трической энергии троллейбусом </w:t>
      </w:r>
      <w:r w:rsidR="002A6824">
        <w:rPr>
          <w:rFonts w:ascii="Times New Roman" w:hAnsi="Times New Roman"/>
          <w:sz w:val="20"/>
        </w:rPr>
        <w:t xml:space="preserve">/ </w:t>
      </w:r>
      <w:r w:rsidR="002A6824" w:rsidRPr="00737BA5">
        <w:rPr>
          <w:rFonts w:ascii="Times New Roman" w:hAnsi="Times New Roman"/>
          <w:sz w:val="20"/>
        </w:rPr>
        <w:t>А.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В.</w:t>
      </w:r>
      <w:r w:rsidR="002A6824">
        <w:rPr>
          <w:rFonts w:ascii="Times New Roman" w:hAnsi="Times New Roman"/>
          <w:sz w:val="20"/>
        </w:rPr>
        <w:t xml:space="preserve"> </w:t>
      </w:r>
      <w:r w:rsidR="00D73B2B" w:rsidRPr="00737BA5">
        <w:rPr>
          <w:rFonts w:ascii="Times New Roman" w:hAnsi="Times New Roman"/>
          <w:sz w:val="20"/>
        </w:rPr>
        <w:t xml:space="preserve">Мятеж, </w:t>
      </w:r>
      <w:r w:rsidR="002A6824" w:rsidRPr="00737BA5">
        <w:rPr>
          <w:rFonts w:ascii="Times New Roman" w:hAnsi="Times New Roman"/>
          <w:sz w:val="20"/>
        </w:rPr>
        <w:t>М.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В.</w:t>
      </w:r>
      <w:r w:rsidR="002A6824">
        <w:rPr>
          <w:rFonts w:ascii="Times New Roman" w:hAnsi="Times New Roman"/>
          <w:sz w:val="20"/>
        </w:rPr>
        <w:t xml:space="preserve"> Я</w:t>
      </w:r>
      <w:r w:rsidR="00D73B2B" w:rsidRPr="00737BA5">
        <w:rPr>
          <w:rFonts w:ascii="Times New Roman" w:hAnsi="Times New Roman"/>
          <w:sz w:val="20"/>
        </w:rPr>
        <w:t xml:space="preserve">рославцев, </w:t>
      </w:r>
      <w:r w:rsidR="002A6824">
        <w:rPr>
          <w:rFonts w:ascii="Times New Roman" w:hAnsi="Times New Roman"/>
          <w:sz w:val="20"/>
        </w:rPr>
        <w:t xml:space="preserve">Д. Д. </w:t>
      </w:r>
      <w:r w:rsidR="00D73B2B" w:rsidRPr="00737BA5">
        <w:rPr>
          <w:rFonts w:ascii="Times New Roman" w:hAnsi="Times New Roman"/>
          <w:sz w:val="20"/>
        </w:rPr>
        <w:t>З</w:t>
      </w:r>
      <w:r w:rsidR="00D73B2B" w:rsidRPr="00737BA5">
        <w:rPr>
          <w:rFonts w:ascii="Times New Roman" w:hAnsi="Times New Roman"/>
          <w:sz w:val="20"/>
        </w:rPr>
        <w:t>а</w:t>
      </w:r>
      <w:r w:rsidR="00D73B2B" w:rsidRPr="00737BA5">
        <w:rPr>
          <w:rFonts w:ascii="Times New Roman" w:hAnsi="Times New Roman"/>
          <w:sz w:val="20"/>
        </w:rPr>
        <w:t xml:space="preserve">белина </w:t>
      </w:r>
      <w:r w:rsidR="002A6824">
        <w:rPr>
          <w:rFonts w:ascii="Times New Roman" w:hAnsi="Times New Roman"/>
          <w:sz w:val="20"/>
        </w:rPr>
        <w:t>//</w:t>
      </w:r>
      <w:r w:rsidR="00D73B2B" w:rsidRPr="00737BA5">
        <w:rPr>
          <w:rFonts w:ascii="Times New Roman" w:hAnsi="Times New Roman"/>
          <w:sz w:val="20"/>
        </w:rPr>
        <w:t xml:space="preserve"> Научные проблемы транспорта Сибири и Дальнего Востока.</w:t>
      </w:r>
      <w:r w:rsidR="002A6824">
        <w:rPr>
          <w:rFonts w:ascii="Times New Roman" w:hAnsi="Times New Roman"/>
          <w:sz w:val="20"/>
        </w:rPr>
        <w:t>–</w:t>
      </w:r>
      <w:r w:rsidR="00D73B2B" w:rsidRPr="00737BA5">
        <w:rPr>
          <w:rFonts w:ascii="Times New Roman" w:hAnsi="Times New Roman"/>
          <w:sz w:val="20"/>
        </w:rPr>
        <w:t xml:space="preserve"> 2014.</w:t>
      </w:r>
      <w:r w:rsidR="002A6824">
        <w:rPr>
          <w:rFonts w:ascii="Times New Roman" w:hAnsi="Times New Roman"/>
          <w:sz w:val="20"/>
        </w:rPr>
        <w:t>–</w:t>
      </w:r>
      <w:r w:rsidR="00D73B2B" w:rsidRPr="00737BA5">
        <w:rPr>
          <w:rFonts w:ascii="Times New Roman" w:hAnsi="Times New Roman"/>
          <w:sz w:val="20"/>
        </w:rPr>
        <w:t xml:space="preserve"> № 1-2.</w:t>
      </w:r>
      <w:r w:rsidR="002A6824">
        <w:rPr>
          <w:rFonts w:ascii="Times New Roman" w:hAnsi="Times New Roman"/>
          <w:sz w:val="20"/>
        </w:rPr>
        <w:t>–</w:t>
      </w:r>
      <w:r w:rsidR="00D73B2B" w:rsidRPr="00737BA5">
        <w:rPr>
          <w:rFonts w:ascii="Times New Roman" w:hAnsi="Times New Roman"/>
          <w:sz w:val="20"/>
        </w:rPr>
        <w:t xml:space="preserve"> С. 282-286.</w:t>
      </w:r>
    </w:p>
    <w:p w:rsidR="00D73B2B" w:rsidRPr="00E12B26" w:rsidRDefault="003F0AA5" w:rsidP="00D73B2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D73B2B" w:rsidRPr="00737BA5">
        <w:rPr>
          <w:rFonts w:ascii="Times New Roman" w:hAnsi="Times New Roman"/>
          <w:sz w:val="20"/>
        </w:rPr>
        <w:t xml:space="preserve">. </w:t>
      </w:r>
      <w:r w:rsidR="00D73B2B" w:rsidRPr="00737BA5">
        <w:rPr>
          <w:rFonts w:ascii="Times New Roman" w:hAnsi="Times New Roman"/>
          <w:sz w:val="20"/>
        </w:rPr>
        <w:tab/>
      </w:r>
      <w:r w:rsidR="002A6824" w:rsidRPr="002A6824">
        <w:rPr>
          <w:rFonts w:ascii="Times New Roman" w:hAnsi="Times New Roman"/>
          <w:i/>
          <w:sz w:val="20"/>
        </w:rPr>
        <w:t>Кузнецов, С. М.</w:t>
      </w:r>
      <w:r w:rsidR="002A6824">
        <w:rPr>
          <w:rFonts w:ascii="Times New Roman" w:hAnsi="Times New Roman"/>
          <w:sz w:val="20"/>
        </w:rPr>
        <w:t xml:space="preserve"> </w:t>
      </w:r>
      <w:r w:rsidR="00D73B2B" w:rsidRPr="00737BA5">
        <w:rPr>
          <w:rFonts w:ascii="Times New Roman" w:hAnsi="Times New Roman"/>
          <w:sz w:val="20"/>
        </w:rPr>
        <w:t>Исследование на математической модели перехо</w:t>
      </w:r>
      <w:r w:rsidR="00D73B2B" w:rsidRPr="00737BA5">
        <w:rPr>
          <w:rFonts w:ascii="Times New Roman" w:hAnsi="Times New Roman"/>
          <w:sz w:val="20"/>
        </w:rPr>
        <w:t>д</w:t>
      </w:r>
      <w:r w:rsidR="00D73B2B" w:rsidRPr="00737BA5">
        <w:rPr>
          <w:rFonts w:ascii="Times New Roman" w:hAnsi="Times New Roman"/>
          <w:sz w:val="20"/>
        </w:rPr>
        <w:t>ных процессов в тяговой сети железных дорог постоянного тока при пуске поезда</w:t>
      </w:r>
      <w:r w:rsidR="008870B2">
        <w:rPr>
          <w:rFonts w:ascii="Times New Roman" w:hAnsi="Times New Roman"/>
          <w:sz w:val="20"/>
        </w:rPr>
        <w:t xml:space="preserve"> /</w:t>
      </w:r>
      <w:r w:rsidR="00D73B2B" w:rsidRPr="00737BA5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С.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М.</w:t>
      </w:r>
      <w:r w:rsidR="002A6824">
        <w:rPr>
          <w:rFonts w:ascii="Times New Roman" w:hAnsi="Times New Roman"/>
          <w:sz w:val="20"/>
        </w:rPr>
        <w:t xml:space="preserve"> </w:t>
      </w:r>
      <w:r w:rsidR="00D73B2B" w:rsidRPr="00737BA5">
        <w:rPr>
          <w:rFonts w:ascii="Times New Roman" w:hAnsi="Times New Roman"/>
          <w:sz w:val="20"/>
        </w:rPr>
        <w:t xml:space="preserve">Кузнецов, </w:t>
      </w:r>
      <w:r w:rsidR="002A6824" w:rsidRPr="00737BA5">
        <w:rPr>
          <w:rFonts w:ascii="Times New Roman" w:hAnsi="Times New Roman"/>
          <w:sz w:val="20"/>
        </w:rPr>
        <w:t>И.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С.</w:t>
      </w:r>
      <w:r w:rsidR="002A6824">
        <w:rPr>
          <w:rFonts w:ascii="Times New Roman" w:hAnsi="Times New Roman"/>
          <w:sz w:val="20"/>
        </w:rPr>
        <w:t xml:space="preserve"> </w:t>
      </w:r>
      <w:proofErr w:type="spellStart"/>
      <w:r w:rsidR="00D73B2B" w:rsidRPr="00737BA5">
        <w:rPr>
          <w:rFonts w:ascii="Times New Roman" w:hAnsi="Times New Roman"/>
          <w:sz w:val="20"/>
        </w:rPr>
        <w:t>Демиденко</w:t>
      </w:r>
      <w:proofErr w:type="spellEnd"/>
      <w:r w:rsidR="00D73B2B" w:rsidRPr="00737BA5">
        <w:rPr>
          <w:rFonts w:ascii="Times New Roman" w:hAnsi="Times New Roman"/>
          <w:sz w:val="20"/>
        </w:rPr>
        <w:t xml:space="preserve">, </w:t>
      </w:r>
      <w:r w:rsidR="002A6824" w:rsidRPr="00737BA5">
        <w:rPr>
          <w:rFonts w:ascii="Times New Roman" w:hAnsi="Times New Roman"/>
          <w:sz w:val="20"/>
        </w:rPr>
        <w:t>М.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В.</w:t>
      </w:r>
      <w:r w:rsidR="002A6824">
        <w:rPr>
          <w:rFonts w:ascii="Times New Roman" w:hAnsi="Times New Roman"/>
          <w:sz w:val="20"/>
        </w:rPr>
        <w:t xml:space="preserve"> </w:t>
      </w:r>
      <w:r w:rsidR="00D73B2B" w:rsidRPr="00737BA5">
        <w:rPr>
          <w:rFonts w:ascii="Times New Roman" w:hAnsi="Times New Roman"/>
          <w:sz w:val="20"/>
        </w:rPr>
        <w:t xml:space="preserve">Ярославцев, </w:t>
      </w:r>
      <w:r w:rsidR="002A6824" w:rsidRPr="00737BA5">
        <w:rPr>
          <w:rFonts w:ascii="Times New Roman" w:hAnsi="Times New Roman"/>
          <w:sz w:val="20"/>
        </w:rPr>
        <w:t>А.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>В.</w:t>
      </w:r>
      <w:r w:rsidR="002A6824">
        <w:rPr>
          <w:rFonts w:ascii="Times New Roman" w:hAnsi="Times New Roman"/>
          <w:sz w:val="20"/>
        </w:rPr>
        <w:t xml:space="preserve"> </w:t>
      </w:r>
      <w:r w:rsidR="00D73B2B" w:rsidRPr="00737BA5">
        <w:rPr>
          <w:rFonts w:ascii="Times New Roman" w:hAnsi="Times New Roman"/>
          <w:sz w:val="20"/>
        </w:rPr>
        <w:t xml:space="preserve">Гашкова, </w:t>
      </w:r>
      <w:r w:rsidR="002A6824" w:rsidRPr="00737BA5">
        <w:rPr>
          <w:rFonts w:ascii="Times New Roman" w:hAnsi="Times New Roman"/>
          <w:sz w:val="20"/>
        </w:rPr>
        <w:t>А.</w:t>
      </w:r>
      <w:r w:rsidR="002A6824">
        <w:rPr>
          <w:rFonts w:ascii="Times New Roman" w:hAnsi="Times New Roman"/>
          <w:sz w:val="20"/>
        </w:rPr>
        <w:t xml:space="preserve"> </w:t>
      </w:r>
      <w:r w:rsidR="002A6824" w:rsidRPr="00737BA5">
        <w:rPr>
          <w:rFonts w:ascii="Times New Roman" w:hAnsi="Times New Roman"/>
          <w:sz w:val="20"/>
        </w:rPr>
        <w:t xml:space="preserve">О. </w:t>
      </w:r>
      <w:r w:rsidR="00D73B2B" w:rsidRPr="00737BA5">
        <w:rPr>
          <w:rFonts w:ascii="Times New Roman" w:hAnsi="Times New Roman"/>
          <w:sz w:val="20"/>
        </w:rPr>
        <w:t xml:space="preserve">Кривова </w:t>
      </w:r>
      <w:r w:rsidR="002A6824">
        <w:rPr>
          <w:rFonts w:ascii="Times New Roman" w:hAnsi="Times New Roman"/>
          <w:sz w:val="20"/>
        </w:rPr>
        <w:t xml:space="preserve">// </w:t>
      </w:r>
      <w:r w:rsidR="00D73B2B" w:rsidRPr="00737BA5">
        <w:rPr>
          <w:rFonts w:ascii="Times New Roman" w:hAnsi="Times New Roman"/>
          <w:sz w:val="20"/>
        </w:rPr>
        <w:t>Научные проблемы транспорта Сибири и Дальнего Вост</w:t>
      </w:r>
      <w:r w:rsidR="00D73B2B" w:rsidRPr="00737BA5">
        <w:rPr>
          <w:rFonts w:ascii="Times New Roman" w:hAnsi="Times New Roman"/>
          <w:sz w:val="20"/>
        </w:rPr>
        <w:t>о</w:t>
      </w:r>
      <w:r w:rsidR="00D73B2B" w:rsidRPr="00737BA5">
        <w:rPr>
          <w:rFonts w:ascii="Times New Roman" w:hAnsi="Times New Roman"/>
          <w:sz w:val="20"/>
        </w:rPr>
        <w:t>ка.</w:t>
      </w:r>
      <w:r w:rsidR="002A6824">
        <w:rPr>
          <w:rFonts w:ascii="Times New Roman" w:hAnsi="Times New Roman"/>
          <w:sz w:val="20"/>
        </w:rPr>
        <w:t>–</w:t>
      </w:r>
      <w:r w:rsidR="00D73B2B" w:rsidRPr="00737BA5">
        <w:rPr>
          <w:rFonts w:ascii="Times New Roman" w:hAnsi="Times New Roman"/>
          <w:sz w:val="20"/>
        </w:rPr>
        <w:t xml:space="preserve"> </w:t>
      </w:r>
      <w:r w:rsidR="00D73B2B" w:rsidRPr="00AA274E">
        <w:rPr>
          <w:rFonts w:ascii="Times New Roman" w:hAnsi="Times New Roman"/>
          <w:sz w:val="20"/>
          <w:lang w:val="en-US"/>
        </w:rPr>
        <w:t>2009.</w:t>
      </w:r>
      <w:r w:rsidR="002A6824">
        <w:rPr>
          <w:rFonts w:ascii="Times New Roman" w:hAnsi="Times New Roman"/>
          <w:sz w:val="20"/>
        </w:rPr>
        <w:t>–</w:t>
      </w:r>
      <w:r w:rsidR="00D73B2B" w:rsidRPr="00AA274E">
        <w:rPr>
          <w:rFonts w:ascii="Times New Roman" w:hAnsi="Times New Roman"/>
          <w:sz w:val="20"/>
          <w:lang w:val="en-US"/>
        </w:rPr>
        <w:t xml:space="preserve"> </w:t>
      </w:r>
      <w:r w:rsidR="00D73B2B" w:rsidRPr="00737BA5">
        <w:rPr>
          <w:rFonts w:ascii="Times New Roman" w:hAnsi="Times New Roman"/>
          <w:sz w:val="20"/>
          <w:lang w:val="en-US"/>
        </w:rPr>
        <w:t>№ 2.</w:t>
      </w:r>
      <w:r w:rsidR="002A6824">
        <w:rPr>
          <w:rFonts w:ascii="Times New Roman" w:hAnsi="Times New Roman"/>
          <w:sz w:val="20"/>
        </w:rPr>
        <w:t>–</w:t>
      </w:r>
      <w:r w:rsidR="00D73B2B" w:rsidRPr="00737BA5">
        <w:rPr>
          <w:rFonts w:ascii="Times New Roman" w:hAnsi="Times New Roman"/>
          <w:sz w:val="20"/>
          <w:lang w:val="en-US"/>
        </w:rPr>
        <w:t xml:space="preserve"> </w:t>
      </w:r>
      <w:r w:rsidR="00D73B2B" w:rsidRPr="00737BA5">
        <w:rPr>
          <w:rFonts w:ascii="Times New Roman" w:hAnsi="Times New Roman"/>
          <w:sz w:val="20"/>
        </w:rPr>
        <w:t>С</w:t>
      </w:r>
      <w:r w:rsidR="00E12B26">
        <w:rPr>
          <w:rFonts w:ascii="Times New Roman" w:hAnsi="Times New Roman"/>
          <w:sz w:val="20"/>
          <w:lang w:val="en-US"/>
        </w:rPr>
        <w:t>. 324-327.</w:t>
      </w:r>
    </w:p>
    <w:p w:rsidR="009C3145" w:rsidRPr="00737BA5" w:rsidRDefault="009C3145" w:rsidP="001F3CA2">
      <w:pPr>
        <w:widowControl w:val="0"/>
        <w:suppressAutoHyphens/>
        <w:rPr>
          <w:sz w:val="20"/>
          <w:lang w:val="en-US"/>
        </w:rPr>
      </w:pPr>
    </w:p>
    <w:sectPr w:rsidR="009C3145" w:rsidRPr="00737BA5" w:rsidSect="009C3145">
      <w:pgSz w:w="8391" w:h="11907" w:code="11"/>
      <w:pgMar w:top="851" w:right="851" w:bottom="851" w:left="851" w:header="851" w:footer="851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00D09"/>
    <w:rsid w:val="000020CB"/>
    <w:rsid w:val="000F2EE3"/>
    <w:rsid w:val="000F505C"/>
    <w:rsid w:val="001F3CA2"/>
    <w:rsid w:val="002A1293"/>
    <w:rsid w:val="002A6824"/>
    <w:rsid w:val="003031D8"/>
    <w:rsid w:val="00314736"/>
    <w:rsid w:val="003C6AAA"/>
    <w:rsid w:val="003F0AA5"/>
    <w:rsid w:val="00470C86"/>
    <w:rsid w:val="004943F9"/>
    <w:rsid w:val="004E5CE4"/>
    <w:rsid w:val="0069619A"/>
    <w:rsid w:val="006F76E2"/>
    <w:rsid w:val="00721851"/>
    <w:rsid w:val="00737BA5"/>
    <w:rsid w:val="008870B2"/>
    <w:rsid w:val="008B5A80"/>
    <w:rsid w:val="009B04C5"/>
    <w:rsid w:val="009C3145"/>
    <w:rsid w:val="00A00D09"/>
    <w:rsid w:val="00A248C9"/>
    <w:rsid w:val="00A616B8"/>
    <w:rsid w:val="00AA274E"/>
    <w:rsid w:val="00AC4DE4"/>
    <w:rsid w:val="00B61DEF"/>
    <w:rsid w:val="00BA5B3A"/>
    <w:rsid w:val="00CD2767"/>
    <w:rsid w:val="00D73B2B"/>
    <w:rsid w:val="00E12B26"/>
    <w:rsid w:val="00E31327"/>
    <w:rsid w:val="00E32DA9"/>
    <w:rsid w:val="00E94430"/>
    <w:rsid w:val="00EB0BC5"/>
    <w:rsid w:val="00EF5372"/>
    <w:rsid w:val="00F8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09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30"/>
    <w:pPr>
      <w:ind w:left="720"/>
      <w:contextualSpacing/>
    </w:pPr>
  </w:style>
  <w:style w:type="table" w:styleId="a4">
    <w:name w:val="Table Grid"/>
    <w:basedOn w:val="a1"/>
    <w:uiPriority w:val="59"/>
    <w:rsid w:val="000F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2978-6D23-400D-B533-32678E66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Yaroslavtsev</cp:lastModifiedBy>
  <cp:revision>13</cp:revision>
  <cp:lastPrinted>2018-10-01T14:23:00Z</cp:lastPrinted>
  <dcterms:created xsi:type="dcterms:W3CDTF">2018-10-01T08:33:00Z</dcterms:created>
  <dcterms:modified xsi:type="dcterms:W3CDTF">2018-10-01T15:00:00Z</dcterms:modified>
</cp:coreProperties>
</file>