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95" w:rsidRDefault="000E1295" w:rsidP="000E1295">
      <w:pPr>
        <w:jc w:val="left"/>
        <w:rPr>
          <w:rFonts w:eastAsia="Calibri"/>
          <w:sz w:val="18"/>
          <w:szCs w:val="18"/>
        </w:rPr>
      </w:pPr>
    </w:p>
    <w:p w:rsidR="000E1295" w:rsidRDefault="000E1295" w:rsidP="000E1295">
      <w:pPr>
        <w:spacing w:after="100"/>
        <w:jc w:val="left"/>
        <w:rPr>
          <w:rFonts w:eastAsia="Calibri"/>
        </w:rPr>
      </w:pPr>
      <w:r>
        <w:rPr>
          <w:rFonts w:eastAsia="Calibri"/>
          <w:sz w:val="18"/>
          <w:szCs w:val="18"/>
        </w:rPr>
        <w:t>УДК 535.92</w:t>
      </w:r>
    </w:p>
    <w:p w:rsidR="000E1295" w:rsidRDefault="00B557A5" w:rsidP="000E1295">
      <w:pPr>
        <w:jc w:val="center"/>
        <w:rPr>
          <w:rFonts w:eastAsia="Calibri"/>
        </w:rPr>
      </w:pPr>
      <w:r>
        <w:rPr>
          <w:rFonts w:eastAsia="Calibri"/>
        </w:rPr>
        <w:t>Шарафиев У.Ф., Сахабутдинов А.Ж.</w:t>
      </w:r>
    </w:p>
    <w:p w:rsidR="000E1295" w:rsidRDefault="00D8375D" w:rsidP="000E1295">
      <w:pPr>
        <w:spacing w:after="100"/>
        <w:jc w:val="center"/>
        <w:rPr>
          <w:rFonts w:eastAsia="Calibri"/>
        </w:rPr>
      </w:pPr>
      <w:r>
        <w:rPr>
          <w:rFonts w:eastAsia="Calibri"/>
        </w:rPr>
        <w:t>(</w:t>
      </w:r>
      <w:r>
        <w:rPr>
          <w:rFonts w:eastAsia="Calibri"/>
        </w:rPr>
        <w:t>г. Казань</w:t>
      </w:r>
      <w:r>
        <w:rPr>
          <w:rFonts w:eastAsia="Calibri"/>
        </w:rPr>
        <w:t>,</w:t>
      </w:r>
      <w:r w:rsidRPr="000E1295">
        <w:rPr>
          <w:rFonts w:eastAsia="Calibri"/>
        </w:rPr>
        <w:t xml:space="preserve"> </w:t>
      </w:r>
      <w:r w:rsidR="000E1295" w:rsidRPr="000E1295">
        <w:rPr>
          <w:rFonts w:eastAsia="Calibri"/>
        </w:rPr>
        <w:t xml:space="preserve">Казанский государственный технический университет </w:t>
      </w:r>
      <w:r w:rsidR="00B557A5">
        <w:rPr>
          <w:rFonts w:eastAsia="Calibri"/>
        </w:rPr>
        <w:br/>
      </w:r>
      <w:r w:rsidR="00F351D9">
        <w:rPr>
          <w:rFonts w:eastAsia="Calibri"/>
        </w:rPr>
        <w:t>и</w:t>
      </w:r>
      <w:r w:rsidR="00B557A5">
        <w:rPr>
          <w:rFonts w:eastAsia="Calibri"/>
        </w:rPr>
        <w:t>м. А.</w:t>
      </w:r>
      <w:r>
        <w:rPr>
          <w:rFonts w:eastAsia="Calibri"/>
        </w:rPr>
        <w:t>Н.Туполева КНИТУ-КАИ)</w:t>
      </w:r>
    </w:p>
    <w:p w:rsidR="000E1295" w:rsidRPr="0029619E" w:rsidRDefault="0029619E" w:rsidP="000E1295">
      <w:pPr>
        <w:keepNext/>
        <w:keepLines/>
        <w:spacing w:before="100" w:after="100"/>
        <w:jc w:val="center"/>
        <w:outlineLvl w:val="1"/>
        <w:rPr>
          <w:rFonts w:eastAsia="Times New Roman"/>
          <w:b/>
          <w:bCs/>
          <w:caps/>
          <w:szCs w:val="26"/>
        </w:rPr>
      </w:pPr>
      <w:r>
        <w:rPr>
          <w:b/>
          <w:bCs/>
          <w:caps/>
          <w:szCs w:val="26"/>
        </w:rPr>
        <w:t xml:space="preserve">моделирование двухчастотного </w:t>
      </w:r>
      <w:r w:rsidR="00B557A5">
        <w:rPr>
          <w:b/>
          <w:bCs/>
          <w:caps/>
          <w:szCs w:val="26"/>
        </w:rPr>
        <w:t>сканирования</w:t>
      </w:r>
      <w:r>
        <w:rPr>
          <w:b/>
          <w:bCs/>
          <w:caps/>
          <w:szCs w:val="26"/>
        </w:rPr>
        <w:t xml:space="preserve"> сверхузких резонансных контуров </w:t>
      </w:r>
    </w:p>
    <w:p w:rsidR="000E1295" w:rsidRPr="0029619E" w:rsidRDefault="0029619E" w:rsidP="000E1295">
      <w:pPr>
        <w:keepNext/>
        <w:keepLines/>
        <w:spacing w:after="100"/>
        <w:jc w:val="center"/>
        <w:outlineLvl w:val="1"/>
        <w:rPr>
          <w:bCs/>
          <w:caps/>
          <w:sz w:val="18"/>
          <w:szCs w:val="26"/>
          <w:lang w:val="en-US"/>
        </w:rPr>
      </w:pPr>
      <w:r w:rsidRPr="0029619E">
        <w:rPr>
          <w:bCs/>
          <w:caps/>
          <w:sz w:val="18"/>
          <w:szCs w:val="26"/>
          <w:lang w:val="en-US"/>
        </w:rPr>
        <w:t xml:space="preserve">SIMULATION OF TWO-FREQUENCY SENSING </w:t>
      </w:r>
      <w:r w:rsidR="00B557A5" w:rsidRPr="00B557A5">
        <w:rPr>
          <w:bCs/>
          <w:caps/>
          <w:sz w:val="18"/>
          <w:szCs w:val="26"/>
          <w:lang w:val="en-US"/>
        </w:rPr>
        <w:br/>
      </w:r>
      <w:r w:rsidRPr="0029619E">
        <w:rPr>
          <w:bCs/>
          <w:caps/>
          <w:sz w:val="18"/>
          <w:szCs w:val="26"/>
          <w:lang w:val="en-US"/>
        </w:rPr>
        <w:t xml:space="preserve">OF SUPERNARROW RESONANCE CIRCUITS </w:t>
      </w:r>
    </w:p>
    <w:p w:rsidR="0029619E" w:rsidRPr="003F4BA0" w:rsidRDefault="00B557A5" w:rsidP="00D8375D">
      <w:pPr>
        <w:ind w:firstLine="397"/>
        <w:rPr>
          <w:rFonts w:eastAsia="Calibri"/>
          <w:i/>
        </w:rPr>
      </w:pPr>
      <w:r w:rsidRPr="0029619E">
        <w:rPr>
          <w:rFonts w:eastAsia="Calibri"/>
          <w:i/>
        </w:rPr>
        <w:t>Р</w:t>
      </w:r>
      <w:r w:rsidR="0029619E" w:rsidRPr="0029619E">
        <w:rPr>
          <w:rFonts w:eastAsia="Calibri"/>
          <w:i/>
        </w:rPr>
        <w:t>абота</w:t>
      </w:r>
      <w:r>
        <w:rPr>
          <w:rFonts w:eastAsia="Calibri"/>
          <w:i/>
        </w:rPr>
        <w:t xml:space="preserve"> посвящена моделированию</w:t>
      </w:r>
      <w:r w:rsidR="0029619E" w:rsidRPr="0029619E">
        <w:rPr>
          <w:rFonts w:eastAsia="Calibri"/>
          <w:i/>
        </w:rPr>
        <w:t xml:space="preserve"> </w:t>
      </w:r>
      <w:r w:rsidR="0029619E">
        <w:rPr>
          <w:rFonts w:eastAsia="Calibri"/>
          <w:i/>
        </w:rPr>
        <w:t>двухчастотного зондирования сверхузких резонансных контуров</w:t>
      </w:r>
      <w:r w:rsidR="0029619E" w:rsidRPr="0029619E">
        <w:rPr>
          <w:rFonts w:eastAsia="Calibri"/>
          <w:i/>
        </w:rPr>
        <w:t>. Приведен</w:t>
      </w:r>
      <w:r>
        <w:rPr>
          <w:rFonts w:eastAsia="Calibri"/>
          <w:i/>
        </w:rPr>
        <w:t xml:space="preserve">о моделирование </w:t>
      </w:r>
      <w:r w:rsidR="003F4BA0" w:rsidRPr="003F4BA0">
        <w:rPr>
          <w:rFonts w:eastAsia="Calibri"/>
          <w:i/>
        </w:rPr>
        <w:t>оптико-электронной схемы двухчастотного сканирования резонансного контура</w:t>
      </w:r>
      <w:r w:rsidR="00B26245">
        <w:rPr>
          <w:rFonts w:eastAsia="Calibri"/>
          <w:i/>
        </w:rPr>
        <w:t xml:space="preserve"> в </w:t>
      </w:r>
      <w:r>
        <w:rPr>
          <w:rFonts w:eastAsia="Calibri"/>
          <w:i/>
        </w:rPr>
        <w:t xml:space="preserve">программном пакете </w:t>
      </w:r>
      <w:r>
        <w:rPr>
          <w:rFonts w:eastAsia="Calibri"/>
          <w:i/>
          <w:lang w:val="en-US"/>
        </w:rPr>
        <w:t>Optisystem</w:t>
      </w:r>
      <w:r w:rsidR="0029619E" w:rsidRPr="003F4BA0">
        <w:rPr>
          <w:rFonts w:eastAsia="Calibri"/>
          <w:i/>
        </w:rPr>
        <w:t>.</w:t>
      </w:r>
    </w:p>
    <w:p w:rsidR="0035305E" w:rsidRDefault="0035305E" w:rsidP="00D8375D">
      <w:pPr>
        <w:ind w:firstLine="397"/>
        <w:rPr>
          <w:rFonts w:eastAsia="Calibri"/>
          <w:i/>
          <w:lang w:val="en-US"/>
        </w:rPr>
      </w:pPr>
      <w:r w:rsidRPr="0035305E">
        <w:rPr>
          <w:rFonts w:eastAsia="Calibri"/>
          <w:i/>
          <w:lang w:val="en-US"/>
        </w:rPr>
        <w:t xml:space="preserve">The work is devoted to modeling of two-frequency </w:t>
      </w:r>
      <w:r>
        <w:rPr>
          <w:rFonts w:eastAsia="Calibri"/>
          <w:i/>
          <w:lang w:val="en-US"/>
        </w:rPr>
        <w:t>scanning</w:t>
      </w:r>
      <w:r w:rsidRPr="0035305E">
        <w:rPr>
          <w:rFonts w:eastAsia="Calibri"/>
          <w:i/>
          <w:lang w:val="en-US"/>
        </w:rPr>
        <w:t xml:space="preserve"> of ultra-narrow resonance contours. The modeling of an optoelectronic circuit for two-frequency scanning of a resonant </w:t>
      </w:r>
      <w:r>
        <w:rPr>
          <w:rFonts w:eastAsia="Calibri"/>
          <w:i/>
          <w:lang w:val="en-US"/>
        </w:rPr>
        <w:t>contours</w:t>
      </w:r>
      <w:r w:rsidRPr="0035305E">
        <w:rPr>
          <w:rFonts w:eastAsia="Calibri"/>
          <w:i/>
          <w:lang w:val="en-US"/>
        </w:rPr>
        <w:t xml:space="preserve"> in the Optisystem software package is presented.</w:t>
      </w:r>
    </w:p>
    <w:p w:rsidR="00086919" w:rsidRDefault="008B0A67" w:rsidP="00D8375D">
      <w:pPr>
        <w:ind w:firstLine="397"/>
        <w:rPr>
          <w:rFonts w:eastAsia="Calibri"/>
          <w:i/>
          <w:lang w:val="en-US"/>
        </w:rPr>
      </w:pPr>
      <w:r>
        <w:rPr>
          <w:rFonts w:eastAsia="Calibri"/>
          <w:i/>
          <w:lang w:val="en-US"/>
        </w:rPr>
        <w:t>Keywords</w:t>
      </w:r>
      <w:r w:rsidRPr="0035305E">
        <w:rPr>
          <w:rFonts w:eastAsia="Calibri"/>
          <w:i/>
          <w:lang w:val="en-US"/>
        </w:rPr>
        <w:t>:</w:t>
      </w:r>
      <w:r w:rsidR="0035305E">
        <w:rPr>
          <w:rFonts w:eastAsia="Calibri"/>
          <w:i/>
          <w:lang w:val="en-US"/>
        </w:rPr>
        <w:t>optical</w:t>
      </w:r>
      <w:r w:rsidR="0035305E" w:rsidRPr="0035305E">
        <w:rPr>
          <w:rFonts w:eastAsia="Calibri"/>
          <w:i/>
          <w:lang w:val="en-US"/>
        </w:rPr>
        <w:t xml:space="preserve">, </w:t>
      </w:r>
      <w:r w:rsidR="0035305E">
        <w:rPr>
          <w:rFonts w:eastAsia="Calibri"/>
          <w:i/>
          <w:lang w:val="en-US"/>
        </w:rPr>
        <w:t>fiber</w:t>
      </w:r>
      <w:r w:rsidR="0035305E" w:rsidRPr="0035305E">
        <w:rPr>
          <w:rFonts w:eastAsia="Calibri"/>
          <w:i/>
          <w:lang w:val="en-US"/>
        </w:rPr>
        <w:t xml:space="preserve"> </w:t>
      </w:r>
      <w:r w:rsidR="0035305E">
        <w:rPr>
          <w:rFonts w:eastAsia="Calibri"/>
          <w:i/>
          <w:lang w:val="en-US"/>
        </w:rPr>
        <w:t>bragg</w:t>
      </w:r>
      <w:r w:rsidR="0035305E" w:rsidRPr="0035305E">
        <w:rPr>
          <w:rFonts w:eastAsia="Calibri"/>
          <w:i/>
          <w:lang w:val="en-US"/>
        </w:rPr>
        <w:t xml:space="preserve">, </w:t>
      </w:r>
      <w:r w:rsidR="0035305E">
        <w:rPr>
          <w:rFonts w:eastAsia="Calibri"/>
          <w:i/>
          <w:lang w:val="en-US"/>
        </w:rPr>
        <w:t xml:space="preserve">resonance </w:t>
      </w:r>
      <w:r w:rsidR="00086919">
        <w:rPr>
          <w:rFonts w:eastAsia="Calibri"/>
          <w:i/>
          <w:lang w:val="en-US"/>
        </w:rPr>
        <w:t>circuit, two-frequency scanning.</w:t>
      </w:r>
    </w:p>
    <w:p w:rsidR="008B0A67" w:rsidRPr="0035305E" w:rsidRDefault="0035305E" w:rsidP="00D8375D">
      <w:pPr>
        <w:ind w:firstLine="397"/>
        <w:rPr>
          <w:rFonts w:eastAsia="Calibri"/>
          <w:i/>
          <w:lang w:val="en-US"/>
        </w:rPr>
      </w:pPr>
      <w:r>
        <w:rPr>
          <w:rFonts w:eastAsia="Calibri"/>
          <w:i/>
          <w:lang w:val="en-US"/>
        </w:rPr>
        <w:t xml:space="preserve"> </w:t>
      </w:r>
    </w:p>
    <w:p w:rsidR="003F4BA0" w:rsidRDefault="00B557A5" w:rsidP="003F4BA0">
      <w:pPr>
        <w:ind w:firstLine="426"/>
      </w:pPr>
      <w:r>
        <w:t>Волоконно-оптические и</w:t>
      </w:r>
      <w:r w:rsidR="00803665" w:rsidRPr="00803665">
        <w:t>змерения</w:t>
      </w:r>
      <w:r>
        <w:t xml:space="preserve"> – </w:t>
      </w:r>
      <w:r w:rsidR="00803665" w:rsidRPr="00803665">
        <w:t xml:space="preserve">быстро развивающееся </w:t>
      </w:r>
      <w:r>
        <w:t xml:space="preserve">и постоянно расширяющееся </w:t>
      </w:r>
      <w:r w:rsidR="00803665" w:rsidRPr="00803665">
        <w:t>направление</w:t>
      </w:r>
      <w:r>
        <w:t xml:space="preserve">. Современная промышленность освоила производство </w:t>
      </w:r>
      <w:r w:rsidR="00803665" w:rsidRPr="00803665">
        <w:t>волоконно-оптических датчиков</w:t>
      </w:r>
      <w:r>
        <w:t xml:space="preserve">, таких как датчики </w:t>
      </w:r>
      <w:r w:rsidR="00803665" w:rsidRPr="00803665">
        <w:t>температуры,</w:t>
      </w:r>
      <w:r>
        <w:t xml:space="preserve"> давления, вибрации, деформации. Расширяется применение и мультипликативных датчиков,</w:t>
      </w:r>
      <w:r w:rsidR="00803665" w:rsidRPr="00803665">
        <w:t xml:space="preserve"> где чувствительным элементом является волоконная брэгговская решетка или структура на </w:t>
      </w:r>
      <w:r>
        <w:t xml:space="preserve">ее </w:t>
      </w:r>
      <w:r w:rsidR="00803665" w:rsidRPr="00803665">
        <w:t>основе. Главным преимуществом волоконно-оптических средств измерения парам</w:t>
      </w:r>
      <w:bookmarkStart w:id="0" w:name="_GoBack"/>
      <w:bookmarkEnd w:id="0"/>
      <w:r w:rsidR="00803665" w:rsidRPr="00803665">
        <w:t xml:space="preserve">етров относительно традиционных являются меньшие габариты и вес, невосприимчивость к электромагнитным полям, простота исполнения, возможность передачи большого количества датчиков по одному каналу и построение измерительных систем на их основе </w:t>
      </w:r>
      <w:r w:rsidR="00C74ADD" w:rsidRPr="00C74ADD">
        <w:t>[1,</w:t>
      </w:r>
      <w:r>
        <w:t xml:space="preserve"> </w:t>
      </w:r>
      <w:r w:rsidR="00C74ADD" w:rsidRPr="00C74ADD">
        <w:t>2]</w:t>
      </w:r>
      <w:r w:rsidR="004D305B" w:rsidRPr="004D305B">
        <w:t>.</w:t>
      </w:r>
    </w:p>
    <w:p w:rsidR="00B557A5" w:rsidRDefault="005C6A1A" w:rsidP="008B0A67">
      <w:pPr>
        <w:ind w:firstLine="426"/>
        <w:rPr>
          <w:bCs/>
        </w:rPr>
      </w:pPr>
      <w:r w:rsidRPr="005C6A1A">
        <w:rPr>
          <w:bCs/>
        </w:rPr>
        <w:t xml:space="preserve">Особый интерес вызывают волоконные брэгговские структуры, в </w:t>
      </w:r>
      <w:r w:rsidR="00B557A5">
        <w:rPr>
          <w:bCs/>
        </w:rPr>
        <w:t xml:space="preserve">спектральный отклик которых включаются </w:t>
      </w:r>
      <w:r w:rsidRPr="005C6A1A">
        <w:rPr>
          <w:bCs/>
        </w:rPr>
        <w:t xml:space="preserve">сверхузкие </w:t>
      </w:r>
      <w:r w:rsidR="00B557A5">
        <w:rPr>
          <w:bCs/>
        </w:rPr>
        <w:t>элементы, такие как окна прозрачности, сформированные, например, дискретными фазовыми сдвигами, или линейно чирпированные волоконные брэгговские решетки или структуры собранные из таких элементов.</w:t>
      </w:r>
      <w:r w:rsidRPr="005C6A1A">
        <w:rPr>
          <w:bCs/>
        </w:rPr>
        <w:t xml:space="preserve"> Измерение параметров </w:t>
      </w:r>
      <w:r w:rsidR="00B557A5">
        <w:rPr>
          <w:bCs/>
        </w:rPr>
        <w:t xml:space="preserve">спектрального отклика, а именно амплитудно-частотной и фазово-частотной характеристики, </w:t>
      </w:r>
      <w:r w:rsidRPr="005C6A1A">
        <w:rPr>
          <w:bCs/>
        </w:rPr>
        <w:t xml:space="preserve">таких структур </w:t>
      </w:r>
      <w:r w:rsidR="00B557A5">
        <w:rPr>
          <w:bCs/>
        </w:rPr>
        <w:t>весьма важная задача</w:t>
      </w:r>
      <w:r w:rsidRPr="005C6A1A">
        <w:rPr>
          <w:bCs/>
        </w:rPr>
        <w:t xml:space="preserve"> </w:t>
      </w:r>
      <w:r w:rsidR="00C74ADD" w:rsidRPr="00C74ADD">
        <w:rPr>
          <w:bCs/>
        </w:rPr>
        <w:t>[2]</w:t>
      </w:r>
      <w:r w:rsidR="004D305B">
        <w:rPr>
          <w:bCs/>
        </w:rPr>
        <w:t xml:space="preserve">. </w:t>
      </w:r>
    </w:p>
    <w:p w:rsidR="00AF0C55" w:rsidRDefault="00B557A5" w:rsidP="00D45251">
      <w:pPr>
        <w:ind w:firstLine="426"/>
        <w:rPr>
          <w:lang w:eastAsia="ru-RU"/>
        </w:rPr>
      </w:pPr>
      <w:r>
        <w:rPr>
          <w:bCs/>
        </w:rPr>
        <w:t xml:space="preserve">В работе была поставлена задача моделирования исследования спектральных характеристик сверхузких оптических элементов на базе </w:t>
      </w:r>
      <w:r>
        <w:rPr>
          <w:lang w:eastAsia="ru-RU"/>
        </w:rPr>
        <w:t xml:space="preserve">двухчастотного сканирования </w:t>
      </w:r>
      <w:r w:rsidR="007D0FB8" w:rsidRPr="007D0FB8">
        <w:rPr>
          <w:lang w:eastAsia="ru-RU"/>
        </w:rPr>
        <w:t xml:space="preserve">[3,4]. Источником исходного излучения </w:t>
      </w:r>
      <w:r>
        <w:rPr>
          <w:lang w:eastAsia="ru-RU"/>
        </w:rPr>
        <w:t xml:space="preserve">является </w:t>
      </w:r>
      <w:r w:rsidR="007D0FB8" w:rsidRPr="007D0FB8">
        <w:rPr>
          <w:lang w:eastAsia="ru-RU"/>
        </w:rPr>
        <w:t>узкополосный лазер</w:t>
      </w:r>
      <w:r w:rsidR="00D45251">
        <w:rPr>
          <w:lang w:eastAsia="ru-RU"/>
        </w:rPr>
        <w:t xml:space="preserve">, излучение которого проходит через модулятор </w:t>
      </w:r>
      <w:r w:rsidR="007D0FB8" w:rsidRPr="007D0FB8">
        <w:rPr>
          <w:lang w:eastAsia="ru-RU"/>
        </w:rPr>
        <w:t xml:space="preserve">Маха-Цендера </w:t>
      </w:r>
      <w:r w:rsidR="00D45251">
        <w:rPr>
          <w:lang w:eastAsia="ru-RU"/>
        </w:rPr>
        <w:t xml:space="preserve">и формирует </w:t>
      </w:r>
      <w:r w:rsidR="007D0FB8" w:rsidRPr="007D0FB8">
        <w:rPr>
          <w:lang w:eastAsia="ru-RU"/>
        </w:rPr>
        <w:t>двухчастотное</w:t>
      </w:r>
      <w:r w:rsidR="00D45251">
        <w:rPr>
          <w:lang w:eastAsia="ru-RU"/>
        </w:rPr>
        <w:t xml:space="preserve"> коррелированное излучение</w:t>
      </w:r>
      <w:r w:rsidR="007D0FB8" w:rsidRPr="007D0FB8">
        <w:rPr>
          <w:lang w:eastAsia="ru-RU"/>
        </w:rPr>
        <w:t xml:space="preserve">. </w:t>
      </w:r>
      <w:r w:rsidR="00D45251">
        <w:rPr>
          <w:lang w:eastAsia="ru-RU"/>
        </w:rPr>
        <w:t xml:space="preserve">Двухчастотное </w:t>
      </w:r>
      <w:r w:rsidR="007D0FB8" w:rsidRPr="007D0FB8">
        <w:rPr>
          <w:lang w:eastAsia="ru-RU"/>
        </w:rPr>
        <w:t xml:space="preserve">излучение, </w:t>
      </w:r>
      <w:r w:rsidR="00D45251">
        <w:rPr>
          <w:lang w:eastAsia="ru-RU"/>
        </w:rPr>
        <w:t xml:space="preserve">направляется на </w:t>
      </w:r>
      <w:r w:rsidR="007D0FB8" w:rsidRPr="007D0FB8">
        <w:rPr>
          <w:lang w:eastAsia="ru-RU"/>
        </w:rPr>
        <w:t>резонансный контур</w:t>
      </w:r>
      <w:r w:rsidR="00D45251">
        <w:rPr>
          <w:lang w:eastAsia="ru-RU"/>
        </w:rPr>
        <w:t xml:space="preserve"> (в качестве которого выступает </w:t>
      </w:r>
      <w:r w:rsidR="007D0FB8" w:rsidRPr="007D0FB8">
        <w:rPr>
          <w:lang w:eastAsia="ru-RU"/>
        </w:rPr>
        <w:t>классическ</w:t>
      </w:r>
      <w:r w:rsidR="00D45251">
        <w:rPr>
          <w:lang w:eastAsia="ru-RU"/>
        </w:rPr>
        <w:t>ая волоконная брэгговская решетка</w:t>
      </w:r>
      <w:r w:rsidR="00230FBD" w:rsidRPr="00230FBD">
        <w:rPr>
          <w:lang w:eastAsia="ru-RU"/>
        </w:rPr>
        <w:t xml:space="preserve"> </w:t>
      </w:r>
      <w:r w:rsidR="00230FBD">
        <w:rPr>
          <w:lang w:val="en-US" w:eastAsia="ru-RU"/>
        </w:rPr>
        <w:t>c</w:t>
      </w:r>
      <w:r w:rsidR="00230FBD" w:rsidRPr="00230FBD">
        <w:rPr>
          <w:lang w:eastAsia="ru-RU"/>
        </w:rPr>
        <w:t xml:space="preserve"> </w:t>
      </w:r>
      <w:r w:rsidR="00230FBD">
        <w:rPr>
          <w:lang w:eastAsia="ru-RU"/>
        </w:rPr>
        <w:t xml:space="preserve">фазовым </w:t>
      </w:r>
      <w:r w:rsidR="00230FBD">
        <w:rPr>
          <w:lang w:eastAsia="ru-RU"/>
        </w:rPr>
        <w:lastRenderedPageBreak/>
        <w:t>сдвигом</w:t>
      </w:r>
      <w:r w:rsidR="00D45251">
        <w:rPr>
          <w:lang w:eastAsia="ru-RU"/>
        </w:rPr>
        <w:t xml:space="preserve">), выходной сигнал принимается на фотоприемнике </w:t>
      </w:r>
      <w:r w:rsidR="007D0FB8" w:rsidRPr="007D0FB8">
        <w:rPr>
          <w:lang w:eastAsia="ru-RU"/>
        </w:rPr>
        <w:t xml:space="preserve">с последующей фильтрацией электрического сигнала на </w:t>
      </w:r>
      <w:r w:rsidR="00D45251">
        <w:rPr>
          <w:lang w:eastAsia="ru-RU"/>
        </w:rPr>
        <w:t xml:space="preserve">разностной </w:t>
      </w:r>
      <w:r w:rsidR="007D0FB8" w:rsidRPr="007D0FB8">
        <w:rPr>
          <w:lang w:eastAsia="ru-RU"/>
        </w:rPr>
        <w:t>частот</w:t>
      </w:r>
      <w:r w:rsidR="00D45251">
        <w:rPr>
          <w:lang w:eastAsia="ru-RU"/>
        </w:rPr>
        <w:t>е излучения</w:t>
      </w:r>
      <w:r w:rsidR="007D0FB8" w:rsidRPr="007D0FB8">
        <w:rPr>
          <w:lang w:eastAsia="ru-RU"/>
        </w:rPr>
        <w:t>.</w:t>
      </w:r>
      <w:r w:rsidR="00D45251">
        <w:rPr>
          <w:lang w:eastAsia="ru-RU"/>
        </w:rPr>
        <w:t xml:space="preserve"> По форме выходного сигнала фотоприемника, сформированного как результат биений двух частотных компонент, делается вывод о спектральной форме исследуемого оптического устройства. </w:t>
      </w:r>
      <w:r w:rsidR="00AF0C55" w:rsidRPr="00AF0C55">
        <w:rPr>
          <w:lang w:eastAsia="ru-RU"/>
        </w:rPr>
        <w:t>Изменяя центральную частоту исходного лазерного, получ</w:t>
      </w:r>
      <w:r w:rsidR="00D45251">
        <w:rPr>
          <w:lang w:eastAsia="ru-RU"/>
        </w:rPr>
        <w:t xml:space="preserve">аем </w:t>
      </w:r>
      <w:r w:rsidR="00AF0C55" w:rsidRPr="00AF0C55">
        <w:rPr>
          <w:lang w:eastAsia="ru-RU"/>
        </w:rPr>
        <w:t xml:space="preserve">зависимость электрического сигнала </w:t>
      </w:r>
      <w:r w:rsidR="00D45251">
        <w:rPr>
          <w:lang w:eastAsia="ru-RU"/>
        </w:rPr>
        <w:t xml:space="preserve">фотоприемника </w:t>
      </w:r>
      <w:r w:rsidR="00AF0C55" w:rsidRPr="00AF0C55">
        <w:rPr>
          <w:lang w:eastAsia="ru-RU"/>
        </w:rPr>
        <w:t>от центральной длины волны исходного сканирующего сигнала.</w:t>
      </w:r>
    </w:p>
    <w:p w:rsidR="008B0A67" w:rsidRDefault="008D2980" w:rsidP="00D45251">
      <w:pPr>
        <w:ind w:firstLine="426"/>
      </w:pPr>
      <w:r w:rsidRPr="008D2980">
        <w:t xml:space="preserve">Моделирование </w:t>
      </w:r>
      <w:r w:rsidR="00D45251">
        <w:t xml:space="preserve">проводилось </w:t>
      </w:r>
      <w:r w:rsidRPr="008D2980">
        <w:t>в программ</w:t>
      </w:r>
      <w:r w:rsidR="00D45251">
        <w:t xml:space="preserve">ном пакете </w:t>
      </w:r>
      <w:r w:rsidRPr="008D2980">
        <w:t>Optisystem</w:t>
      </w:r>
      <w:r w:rsidR="00D45251">
        <w:t>, м</w:t>
      </w:r>
      <w:r w:rsidRPr="008D2980">
        <w:t>одель оптико-электронной схемы двухчастотного сканирования резонансного контура приведена на Рисунке 1. Узкополосное лазерное излучение моделируется с помощью CW Laser (1-Laser, рисунок 1). Центральную длину волны лазерного излучения зададим от 1549.8 до 1550.2 нм, с шагом 20 пм. С помощью модулятора Маха-Цендера (2-MMZ, рисунок 1) получим двухчастотный сигнал, подава</w:t>
      </w:r>
      <w:r w:rsidR="00D45251">
        <w:t>я</w:t>
      </w:r>
      <w:r w:rsidRPr="008D2980">
        <w:t xml:space="preserve"> на модулятор гармонический синусоидальный сигнал с генератора (3-Sine Generator, рисунок 1), частота генератора 1 ГГц, с амплитудой тока 0.5 усл. ед. Подобрав напряжение смещения модулятора Маха-Цендера, получим двухчастотное излучение с максимальным подавлением несущей частоты. На рисунк</w:t>
      </w:r>
      <w:r w:rsidR="00D45251">
        <w:t xml:space="preserve">ах </w:t>
      </w:r>
      <w:r w:rsidR="00427463">
        <w:t>2</w:t>
      </w:r>
      <w:r w:rsidRPr="008D2980">
        <w:t>,</w:t>
      </w:r>
      <w:r w:rsidRPr="00D45251">
        <w:rPr>
          <w:i/>
        </w:rPr>
        <w:t>а</w:t>
      </w:r>
      <w:r w:rsidRPr="008D2980">
        <w:t xml:space="preserve"> и </w:t>
      </w:r>
      <w:r w:rsidR="00427463">
        <w:t>2</w:t>
      </w:r>
      <w:r w:rsidRPr="008D2980">
        <w:t>,</w:t>
      </w:r>
      <w:r w:rsidRPr="00D45251">
        <w:rPr>
          <w:i/>
        </w:rPr>
        <w:t>б</w:t>
      </w:r>
      <w:r w:rsidRPr="008D2980">
        <w:t xml:space="preserve"> представлены исходное </w:t>
      </w:r>
      <w:r w:rsidR="00D45251">
        <w:t xml:space="preserve">излучение и сформированное </w:t>
      </w:r>
      <w:r w:rsidRPr="008D2980">
        <w:t xml:space="preserve">двухчастотное излучение. Разностная частота двухчастотного сканирующего сигнала равна удвоенной частоте модуляции, подаваемой с генератора – 2 ГГЦ. </w:t>
      </w:r>
      <w:r w:rsidR="008B0A67">
        <w:t>Д</w:t>
      </w:r>
      <w:r w:rsidRPr="008D2980">
        <w:t xml:space="preserve">вухчастотное лазерное излучение подается на </w:t>
      </w:r>
      <w:r w:rsidR="00D45251">
        <w:t xml:space="preserve">исследуемый </w:t>
      </w:r>
      <w:r w:rsidRPr="008D2980">
        <w:t>резонансный контур, который задан ВБР (4-FBG, рисунок 1), с центральной длиной волны 1550 нм. АЧХ исследуемого резонансного контура приведена на рисунке 2,</w:t>
      </w:r>
      <w:r w:rsidRPr="00D45251">
        <w:rPr>
          <w:i/>
        </w:rPr>
        <w:t>в</w:t>
      </w:r>
      <w:r w:rsidRPr="008D2980">
        <w:t>. Двухчастотное лазерное излучение после взаимодействия с резонансным контуром представлена на рисунке 2,</w:t>
      </w:r>
      <w:r w:rsidRPr="00D45251">
        <w:rPr>
          <w:i/>
        </w:rPr>
        <w:t>г</w:t>
      </w:r>
      <w:r w:rsidRPr="008D2980">
        <w:t>, где мы можем наблюдать изменением амплитуды сканирующего сигнала.</w:t>
      </w:r>
      <w:bookmarkStart w:id="1" w:name="_Hlk52391426"/>
      <w:r w:rsidR="00D45251">
        <w:t xml:space="preserve"> </w:t>
      </w:r>
      <w:r w:rsidR="008B0A67" w:rsidRPr="008B0A67">
        <w:t xml:space="preserve">Результат двухчастотного сканирующего излучения подается на оптический вход фотоприемника (5-Photodetector-M, рисунок 1). Двухчастотное лазерное излучение на фотоприемнике формирует колебания биений на разностной частоте оптических составляющих – 2 ГГц. </w:t>
      </w:r>
    </w:p>
    <w:p w:rsidR="008B0A67" w:rsidRDefault="008B0A67" w:rsidP="00D45251">
      <w:pPr>
        <w:rPr>
          <w:i/>
        </w:rPr>
      </w:pPr>
      <w:r w:rsidRPr="008B0A67">
        <w:t>Спектральная характеристика электрического сигнала после фотоприемника приведена на рисунке 2,</w:t>
      </w:r>
      <w:r w:rsidRPr="00D45251">
        <w:rPr>
          <w:i/>
        </w:rPr>
        <w:t>д</w:t>
      </w:r>
      <w:r w:rsidRPr="008B0A67">
        <w:t>. Для выделения разностной частоты используется частотный фильтр с прямоугольной амплитудно-частотной характеристикой, с центральной частотой 2 ГГц и шириной фильтра 0.2 ГГц.</w:t>
      </w:r>
      <w:bookmarkEnd w:id="1"/>
      <w:r w:rsidR="00D45251">
        <w:t xml:space="preserve"> </w:t>
      </w:r>
      <w:r w:rsidRPr="008B0A67">
        <w:t>После прохождения фильтра сигнал принимается на измерителе мощности (5</w:t>
      </w:r>
      <w:r w:rsidR="00D45251">
        <w:noBreakHyphen/>
      </w:r>
      <w:r w:rsidRPr="008B0A67">
        <w:t>PM2GHz, рисунок 1). На рисунке 2,</w:t>
      </w:r>
      <w:r w:rsidRPr="00D45251">
        <w:rPr>
          <w:i/>
        </w:rPr>
        <w:t>е</w:t>
      </w:r>
      <w:r w:rsidRPr="008B0A67">
        <w:t xml:space="preserve"> приведена восстановленная амплитудно-частотная характеристика резонансного контура. По оси абсцисс отложен номер итерации, соответствующий сдвигу центральной длины волны двухчастотного излучения в диапазоне 1549.8 до 1550.2 нм, с шагом 20 пм, а по оси ординат величина мощности электрического сигнала.</w:t>
      </w:r>
    </w:p>
    <w:p w:rsidR="008B0A67" w:rsidRPr="008B0A67" w:rsidRDefault="008B0A67" w:rsidP="008B0A67">
      <w:pPr>
        <w:pStyle w:val="a7"/>
      </w:pPr>
    </w:p>
    <w:p w:rsidR="004D305B" w:rsidRDefault="0035305E" w:rsidP="003F4BA0">
      <w:pPr>
        <w:pStyle w:val="a8"/>
        <w:spacing w:before="120"/>
      </w:pPr>
      <w:r>
        <w:lastRenderedPageBreak/>
        <w:drawing>
          <wp:inline distT="0" distB="0" distL="0" distR="0" wp14:anchorId="3B15AE61" wp14:editId="547055B5">
            <wp:extent cx="4247515" cy="174053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9E" w:rsidRPr="00427463" w:rsidRDefault="004D305B" w:rsidP="00427463">
      <w:pPr>
        <w:pStyle w:val="a7"/>
        <w:spacing w:after="120"/>
        <w:rPr>
          <w:sz w:val="18"/>
          <w:szCs w:val="18"/>
          <w:lang w:eastAsia="ru-RU"/>
        </w:rPr>
      </w:pPr>
      <w:bookmarkStart w:id="2" w:name="_Ref527709641"/>
      <w:r w:rsidRPr="00F00C9F">
        <w:rPr>
          <w:i/>
          <w:iCs/>
          <w:sz w:val="18"/>
          <w:szCs w:val="18"/>
        </w:rPr>
        <w:t xml:space="preserve">Рисунок </w:t>
      </w:r>
      <w:bookmarkEnd w:id="2"/>
      <w:r w:rsidR="00F00C9F" w:rsidRPr="00F00C9F">
        <w:rPr>
          <w:i/>
          <w:iCs/>
          <w:sz w:val="18"/>
          <w:szCs w:val="18"/>
        </w:rPr>
        <w:t>1</w:t>
      </w:r>
      <w:r w:rsidRPr="00F00C9F">
        <w:rPr>
          <w:i/>
          <w:iCs/>
          <w:sz w:val="18"/>
          <w:szCs w:val="18"/>
        </w:rPr>
        <w:t xml:space="preserve"> – Модель оптико-электронной схемы двухчастотного сканирования </w:t>
      </w:r>
      <w:r w:rsidRPr="00F00C9F">
        <w:rPr>
          <w:noProof/>
          <w:sz w:val="18"/>
          <w:szCs w:val="18"/>
          <w:lang w:eastAsia="ru-RU"/>
        </w:rPr>
        <w:drawing>
          <wp:inline distT="0" distB="0" distL="0" distR="0">
            <wp:extent cx="1892595" cy="207898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97" cy="22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C9F">
        <w:rPr>
          <w:sz w:val="18"/>
          <w:szCs w:val="18"/>
        </w:rPr>
        <w:t xml:space="preserve"> (а) </w:t>
      </w:r>
      <w:r w:rsidRPr="00F00C9F">
        <w:rPr>
          <w:noProof/>
          <w:sz w:val="18"/>
          <w:szCs w:val="18"/>
          <w:lang w:eastAsia="ru-RU"/>
        </w:rPr>
        <w:drawing>
          <wp:inline distT="0" distB="0" distL="0" distR="0">
            <wp:extent cx="1945758" cy="21373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02" cy="232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C9F">
        <w:rPr>
          <w:sz w:val="18"/>
          <w:szCs w:val="18"/>
        </w:rPr>
        <w:t>(б)</w:t>
      </w:r>
      <w:r w:rsidR="003A5C4C" w:rsidRPr="003A5C4C">
        <w:rPr>
          <w:noProof/>
        </w:rPr>
        <w:t xml:space="preserve"> </w:t>
      </w:r>
      <w:r w:rsidR="003A5C4C">
        <w:rPr>
          <w:noProof/>
          <w:lang w:eastAsia="ru-RU"/>
        </w:rPr>
        <w:drawing>
          <wp:inline distT="0" distB="0" distL="0" distR="0" wp14:anchorId="44D159B0" wp14:editId="1E4CBFE3">
            <wp:extent cx="1752433" cy="1892596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7027" cy="190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00C9F">
        <w:rPr>
          <w:sz w:val="18"/>
          <w:szCs w:val="18"/>
        </w:rPr>
        <w:t xml:space="preserve">(в) </w:t>
      </w:r>
      <w:r w:rsidR="0035305E">
        <w:rPr>
          <w:noProof/>
          <w:lang w:eastAsia="ru-RU"/>
        </w:rPr>
        <w:drawing>
          <wp:inline distT="0" distB="0" distL="0" distR="0" wp14:anchorId="5CCBC253" wp14:editId="038ACEE3">
            <wp:extent cx="1818168" cy="1979457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2242" cy="211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05E" w:rsidRPr="00F00C9F">
        <w:rPr>
          <w:sz w:val="18"/>
          <w:szCs w:val="18"/>
        </w:rPr>
        <w:t xml:space="preserve"> </w:t>
      </w:r>
      <w:r w:rsidRPr="00F00C9F">
        <w:rPr>
          <w:sz w:val="18"/>
          <w:szCs w:val="18"/>
        </w:rPr>
        <w:t>(г)</w:t>
      </w:r>
    </w:p>
    <w:p w:rsidR="0029619E" w:rsidRPr="0029619E" w:rsidRDefault="0035305E" w:rsidP="0029619E">
      <w:pPr>
        <w:pStyle w:val="a8"/>
        <w:rPr>
          <w:sz w:val="18"/>
          <w:szCs w:val="18"/>
        </w:rPr>
      </w:pPr>
      <w:r>
        <w:lastRenderedPageBreak/>
        <w:drawing>
          <wp:inline distT="0" distB="0" distL="0" distR="0" wp14:anchorId="041FEEEC" wp14:editId="5669B84B">
            <wp:extent cx="1807535" cy="1988289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3390" cy="201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C9F">
        <w:rPr>
          <w:sz w:val="18"/>
          <w:szCs w:val="18"/>
        </w:rPr>
        <w:t xml:space="preserve"> </w:t>
      </w:r>
      <w:r w:rsidR="004D305B" w:rsidRPr="00F00C9F">
        <w:rPr>
          <w:sz w:val="18"/>
          <w:szCs w:val="18"/>
        </w:rPr>
        <w:t xml:space="preserve">(д) </w:t>
      </w:r>
      <w:r w:rsidR="003A5C4C">
        <w:drawing>
          <wp:inline distT="0" distB="0" distL="0" distR="0" wp14:anchorId="4B088BA9" wp14:editId="12B68BC9">
            <wp:extent cx="1871330" cy="209293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2606" cy="212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C9F">
        <w:rPr>
          <w:sz w:val="18"/>
          <w:szCs w:val="18"/>
        </w:rPr>
        <w:t xml:space="preserve"> </w:t>
      </w:r>
      <w:r w:rsidR="004D305B" w:rsidRPr="00F00C9F">
        <w:rPr>
          <w:sz w:val="18"/>
          <w:szCs w:val="18"/>
        </w:rPr>
        <w:t>(е)</w:t>
      </w:r>
    </w:p>
    <w:p w:rsidR="004D305B" w:rsidRPr="00F00C9F" w:rsidRDefault="004D305B" w:rsidP="00F00C9F">
      <w:pPr>
        <w:pStyle w:val="a7"/>
        <w:spacing w:after="120"/>
        <w:rPr>
          <w:i/>
          <w:iCs/>
          <w:sz w:val="18"/>
          <w:szCs w:val="18"/>
          <w:lang w:eastAsia="ru-RU"/>
        </w:rPr>
      </w:pPr>
      <w:bookmarkStart w:id="3" w:name="_Ref527710629"/>
      <w:r w:rsidRPr="00F00C9F">
        <w:rPr>
          <w:i/>
          <w:iCs/>
          <w:sz w:val="18"/>
          <w:szCs w:val="18"/>
        </w:rPr>
        <w:t xml:space="preserve">Рисунок </w:t>
      </w:r>
      <w:bookmarkEnd w:id="3"/>
      <w:r w:rsidR="0035305E">
        <w:rPr>
          <w:i/>
          <w:iCs/>
          <w:sz w:val="18"/>
          <w:szCs w:val="18"/>
        </w:rPr>
        <w:t>2</w:t>
      </w:r>
      <w:r w:rsidRPr="00F00C9F">
        <w:rPr>
          <w:i/>
          <w:iCs/>
          <w:sz w:val="18"/>
          <w:szCs w:val="18"/>
        </w:rPr>
        <w:t xml:space="preserve"> – Амплитудно-частотные характеристики двухчастотного сканирования резонансного контура</w:t>
      </w:r>
    </w:p>
    <w:p w:rsidR="004D305B" w:rsidRDefault="004D305B" w:rsidP="00F351D9">
      <w:pPr>
        <w:ind w:firstLine="709"/>
      </w:pPr>
      <w:r>
        <w:t xml:space="preserve">Сравнивая амплитудно-частотные характеристики  исследуемого резонансного контура (рисунок </w:t>
      </w:r>
      <w:r w:rsidR="0035305E">
        <w:t>2</w:t>
      </w:r>
      <w:r>
        <w:t>,</w:t>
      </w:r>
      <w:r>
        <w:rPr>
          <w:i/>
        </w:rPr>
        <w:t>в</w:t>
      </w:r>
      <w:r>
        <w:t>) и восстановленную амплитудно-частотную характеристику методом двухчастотного сканирования (</w:t>
      </w:r>
      <w:r w:rsidR="0035305E">
        <w:t>Р</w:t>
      </w:r>
      <w:r>
        <w:t>исунок</w:t>
      </w:r>
      <w:r w:rsidR="0035305E">
        <w:t xml:space="preserve"> 2</w:t>
      </w:r>
      <w:r>
        <w:t>,</w:t>
      </w:r>
      <w:r>
        <w:rPr>
          <w:i/>
        </w:rPr>
        <w:t>е</w:t>
      </w:r>
      <w:r>
        <w:t>), можно видеть, что кривые в целом повторяют форму, что в свою очередь подтверждает корректность выдвинутых теоретических предсказаний и результатов компьютерного моделирования.</w:t>
      </w:r>
    </w:p>
    <w:p w:rsidR="004072F4" w:rsidRDefault="004072F4" w:rsidP="004072F4">
      <w:pPr>
        <w:keepNext/>
        <w:keepLines/>
        <w:spacing w:before="200" w:after="200"/>
        <w:jc w:val="center"/>
        <w:outlineLvl w:val="2"/>
        <w:rPr>
          <w:b/>
          <w:bCs/>
        </w:rPr>
      </w:pPr>
      <w:r>
        <w:rPr>
          <w:b/>
          <w:bCs/>
        </w:rPr>
        <w:t>Список литературы</w:t>
      </w:r>
    </w:p>
    <w:p w:rsidR="00CC03D1" w:rsidRDefault="004072F4" w:rsidP="00373C29">
      <w:pPr>
        <w:ind w:firstLine="42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1.</w:t>
      </w:r>
      <w:bookmarkStart w:id="4" w:name="_Hlk52300517"/>
      <w:r>
        <w:rPr>
          <w:rFonts w:eastAsia="Calibri"/>
          <w:sz w:val="18"/>
          <w:szCs w:val="18"/>
        </w:rPr>
        <w:t xml:space="preserve"> </w:t>
      </w:r>
      <w:bookmarkEnd w:id="4"/>
      <w:r w:rsidR="00CC03D1">
        <w:rPr>
          <w:rFonts w:eastAsia="Calibri"/>
          <w:i/>
          <w:sz w:val="18"/>
          <w:szCs w:val="18"/>
        </w:rPr>
        <w:t>Сахабутдинов</w:t>
      </w:r>
      <w:r>
        <w:rPr>
          <w:rFonts w:eastAsia="Calibri"/>
          <w:i/>
          <w:sz w:val="18"/>
          <w:szCs w:val="18"/>
        </w:rPr>
        <w:t xml:space="preserve">, </w:t>
      </w:r>
      <w:r w:rsidR="00CC03D1">
        <w:rPr>
          <w:rFonts w:eastAsia="Calibri"/>
          <w:i/>
          <w:sz w:val="18"/>
          <w:szCs w:val="18"/>
        </w:rPr>
        <w:t>А</w:t>
      </w:r>
      <w:r>
        <w:rPr>
          <w:rFonts w:eastAsia="Calibri"/>
          <w:i/>
          <w:sz w:val="18"/>
          <w:szCs w:val="18"/>
        </w:rPr>
        <w:t>.</w:t>
      </w:r>
      <w:r w:rsidR="00CC03D1">
        <w:rPr>
          <w:rFonts w:eastAsia="Calibri"/>
          <w:i/>
          <w:sz w:val="18"/>
          <w:szCs w:val="18"/>
        </w:rPr>
        <w:t>Ж</w:t>
      </w:r>
      <w:r>
        <w:rPr>
          <w:rFonts w:eastAsia="Calibri"/>
          <w:i/>
          <w:sz w:val="18"/>
          <w:szCs w:val="18"/>
        </w:rPr>
        <w:t>.</w:t>
      </w:r>
      <w:r>
        <w:rPr>
          <w:rFonts w:eastAsia="Calibri"/>
          <w:sz w:val="18"/>
          <w:szCs w:val="18"/>
        </w:rPr>
        <w:t xml:space="preserve"> </w:t>
      </w:r>
      <w:r w:rsidR="00CC03D1">
        <w:rPr>
          <w:rFonts w:eastAsia="Calibri"/>
          <w:sz w:val="18"/>
          <w:szCs w:val="18"/>
        </w:rPr>
        <w:t>Радиофотонные сенсорные системы на адресных волоконных брэгговских структурах и их применение для решения практических задач</w:t>
      </w:r>
      <w:r w:rsidR="00CC03D1" w:rsidRPr="00CC03D1">
        <w:rPr>
          <w:rFonts w:eastAsia="Calibri"/>
          <w:sz w:val="18"/>
          <w:szCs w:val="18"/>
        </w:rPr>
        <w:t xml:space="preserve">: </w:t>
      </w:r>
      <w:r w:rsidR="00CC03D1">
        <w:rPr>
          <w:rFonts w:eastAsia="Calibri"/>
          <w:sz w:val="18"/>
          <w:szCs w:val="18"/>
        </w:rPr>
        <w:t>дис. док. техн. наук.</w:t>
      </w:r>
      <w:r>
        <w:rPr>
          <w:rFonts w:eastAsia="Calibri"/>
          <w:sz w:val="18"/>
          <w:szCs w:val="18"/>
        </w:rPr>
        <w:t xml:space="preserve"> – </w:t>
      </w:r>
      <w:r w:rsidR="00CC03D1">
        <w:rPr>
          <w:rFonts w:eastAsia="Calibri"/>
          <w:sz w:val="18"/>
          <w:szCs w:val="18"/>
        </w:rPr>
        <w:t>Казань</w:t>
      </w:r>
      <w:r>
        <w:rPr>
          <w:rFonts w:eastAsia="Calibri"/>
          <w:sz w:val="18"/>
          <w:szCs w:val="18"/>
        </w:rPr>
        <w:t>, 20</w:t>
      </w:r>
      <w:r w:rsidR="00CC03D1">
        <w:rPr>
          <w:rFonts w:eastAsia="Calibri"/>
          <w:sz w:val="18"/>
          <w:szCs w:val="18"/>
        </w:rPr>
        <w:t>1</w:t>
      </w:r>
      <w:r>
        <w:rPr>
          <w:rFonts w:eastAsia="Calibri"/>
          <w:sz w:val="18"/>
          <w:szCs w:val="18"/>
        </w:rPr>
        <w:t xml:space="preserve">8. – </w:t>
      </w:r>
      <w:r w:rsidR="00CC03D1">
        <w:rPr>
          <w:rFonts w:eastAsia="Calibri"/>
          <w:sz w:val="18"/>
          <w:szCs w:val="18"/>
        </w:rPr>
        <w:t>467</w:t>
      </w:r>
      <w:r>
        <w:rPr>
          <w:rFonts w:eastAsia="Calibri"/>
          <w:sz w:val="18"/>
          <w:szCs w:val="18"/>
        </w:rPr>
        <w:t xml:space="preserve"> с.</w:t>
      </w:r>
    </w:p>
    <w:p w:rsidR="00CC03D1" w:rsidRDefault="00CC03D1" w:rsidP="00373C29">
      <w:pPr>
        <w:ind w:firstLine="42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2. </w:t>
      </w:r>
      <w:r>
        <w:rPr>
          <w:rFonts w:eastAsia="Calibri"/>
          <w:i/>
          <w:sz w:val="18"/>
          <w:szCs w:val="18"/>
        </w:rPr>
        <w:t>Нуреев, И.И.</w:t>
      </w:r>
      <w:r>
        <w:rPr>
          <w:rFonts w:eastAsia="Calibri"/>
          <w:sz w:val="18"/>
          <w:szCs w:val="18"/>
        </w:rPr>
        <w:t xml:space="preserve"> </w:t>
      </w:r>
      <w:r w:rsidRPr="00CC03D1">
        <w:rPr>
          <w:rFonts w:eastAsia="Calibri"/>
          <w:sz w:val="18"/>
          <w:szCs w:val="18"/>
        </w:rPr>
        <w:t>Радиофотонные полигармонические системы интеррогации комплексированных волоконно-оптических датчиков: дис. д-ра техн. наук: 05.11.13 / Нуреев Ильнур Ильдарович. – Казань, 2017. – 515 с.</w:t>
      </w:r>
    </w:p>
    <w:p w:rsidR="004D305B" w:rsidRPr="00CC03D1" w:rsidRDefault="00CC03D1" w:rsidP="00373C29">
      <w:pPr>
        <w:ind w:firstLine="426"/>
        <w:rPr>
          <w:sz w:val="18"/>
          <w:szCs w:val="18"/>
        </w:rPr>
      </w:pPr>
      <w:r w:rsidRPr="00CC03D1">
        <w:rPr>
          <w:sz w:val="18"/>
          <w:szCs w:val="18"/>
        </w:rPr>
        <w:t xml:space="preserve">3. </w:t>
      </w:r>
      <w:r w:rsidRPr="00CC03D1">
        <w:rPr>
          <w:i/>
          <w:iCs/>
          <w:sz w:val="18"/>
          <w:szCs w:val="18"/>
        </w:rPr>
        <w:t>Морозов, О.Г.</w:t>
      </w:r>
      <w:r w:rsidRPr="00CC03D1">
        <w:rPr>
          <w:sz w:val="18"/>
          <w:szCs w:val="18"/>
        </w:rPr>
        <w:t xml:space="preserve"> Симметричная двухчастотная рефлектометрия в лазерных системах контроля параметров природной и искусственных сред: дис. док. техн. наук. - Казань, 2004. - 333 с.</w:t>
      </w:r>
    </w:p>
    <w:p w:rsidR="00373C29" w:rsidRPr="00C74ADD" w:rsidRDefault="00CC03D1" w:rsidP="00C74ADD">
      <w:pPr>
        <w:ind w:firstLine="426"/>
        <w:rPr>
          <w:rFonts w:cs="Times New Roman"/>
          <w:spacing w:val="-4"/>
          <w:sz w:val="18"/>
          <w:szCs w:val="18"/>
        </w:rPr>
      </w:pPr>
      <w:r w:rsidRPr="00CC03D1">
        <w:rPr>
          <w:rFonts w:cs="Times New Roman"/>
          <w:spacing w:val="-4"/>
          <w:sz w:val="18"/>
          <w:szCs w:val="18"/>
        </w:rPr>
        <w:t xml:space="preserve">4. </w:t>
      </w:r>
      <w:r w:rsidRPr="00CC03D1">
        <w:rPr>
          <w:rFonts w:cs="Times New Roman"/>
          <w:i/>
          <w:iCs/>
          <w:spacing w:val="-4"/>
          <w:sz w:val="18"/>
          <w:szCs w:val="18"/>
        </w:rPr>
        <w:t>Нуреев, И.И</w:t>
      </w:r>
      <w:r w:rsidRPr="00CC03D1">
        <w:rPr>
          <w:rFonts w:cs="Times New Roman"/>
          <w:spacing w:val="-4"/>
          <w:sz w:val="18"/>
          <w:szCs w:val="18"/>
        </w:rPr>
        <w:t>. Статическая и динамическая радиофотонная интеррогация однотипных волоконных брэгговских решеток при полигармоническом зондировании // Научно–технический Вестник Поволжья. – 2016. – №3. – С. 69–71.</w:t>
      </w:r>
    </w:p>
    <w:sectPr w:rsidR="00373C29" w:rsidRPr="00C74ADD" w:rsidSect="000E1295">
      <w:pgSz w:w="8391" w:h="11906" w:code="11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D0" w:rsidRDefault="00E70BD0" w:rsidP="000E1295">
      <w:r>
        <w:separator/>
      </w:r>
    </w:p>
  </w:endnote>
  <w:endnote w:type="continuationSeparator" w:id="0">
    <w:p w:rsidR="00E70BD0" w:rsidRDefault="00E70BD0" w:rsidP="000E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D0" w:rsidRDefault="00E70BD0" w:rsidP="000E1295">
      <w:r>
        <w:separator/>
      </w:r>
    </w:p>
  </w:footnote>
  <w:footnote w:type="continuationSeparator" w:id="0">
    <w:p w:rsidR="00E70BD0" w:rsidRDefault="00E70BD0" w:rsidP="000E1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56FB9"/>
    <w:multiLevelType w:val="hybridMultilevel"/>
    <w:tmpl w:val="D960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5"/>
    <w:rsid w:val="0004774F"/>
    <w:rsid w:val="00086919"/>
    <w:rsid w:val="000D473E"/>
    <w:rsid w:val="000E1295"/>
    <w:rsid w:val="001A7578"/>
    <w:rsid w:val="001F2AF9"/>
    <w:rsid w:val="00230FBD"/>
    <w:rsid w:val="0029619E"/>
    <w:rsid w:val="0035305E"/>
    <w:rsid w:val="00373C29"/>
    <w:rsid w:val="003A5C4C"/>
    <w:rsid w:val="003C0C31"/>
    <w:rsid w:val="003F4BA0"/>
    <w:rsid w:val="004072F4"/>
    <w:rsid w:val="00427463"/>
    <w:rsid w:val="004D305B"/>
    <w:rsid w:val="005604E5"/>
    <w:rsid w:val="005C6A1A"/>
    <w:rsid w:val="007D0FB8"/>
    <w:rsid w:val="00803665"/>
    <w:rsid w:val="008B0A67"/>
    <w:rsid w:val="008D2980"/>
    <w:rsid w:val="0096210B"/>
    <w:rsid w:val="009C2722"/>
    <w:rsid w:val="00A405AB"/>
    <w:rsid w:val="00AF0C55"/>
    <w:rsid w:val="00B26245"/>
    <w:rsid w:val="00B557A5"/>
    <w:rsid w:val="00BD3194"/>
    <w:rsid w:val="00BD31D3"/>
    <w:rsid w:val="00BE7CE7"/>
    <w:rsid w:val="00C74ADD"/>
    <w:rsid w:val="00CC03D1"/>
    <w:rsid w:val="00D0223B"/>
    <w:rsid w:val="00D45251"/>
    <w:rsid w:val="00D8375D"/>
    <w:rsid w:val="00E70BD0"/>
    <w:rsid w:val="00E73089"/>
    <w:rsid w:val="00F00C9F"/>
    <w:rsid w:val="00F351D9"/>
    <w:rsid w:val="00F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E698"/>
  <w15:docId w15:val="{3E2B09D4-1ADD-45A9-8C08-9DE0EDC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95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295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unhideWhenUsed/>
    <w:rsid w:val="000E1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295"/>
    <w:rPr>
      <w:rFonts w:ascii="Times New Roman" w:hAnsi="Times New Roman"/>
      <w:sz w:val="20"/>
    </w:rPr>
  </w:style>
  <w:style w:type="paragraph" w:customStyle="1" w:styleId="a7">
    <w:name w:val="Рисунок подпись"/>
    <w:basedOn w:val="a"/>
    <w:next w:val="a"/>
    <w:qFormat/>
    <w:rsid w:val="004D305B"/>
    <w:pPr>
      <w:spacing w:before="120" w:after="480"/>
      <w:jc w:val="center"/>
    </w:pPr>
    <w:rPr>
      <w:sz w:val="26"/>
    </w:rPr>
  </w:style>
  <w:style w:type="paragraph" w:customStyle="1" w:styleId="a8">
    <w:name w:val="Рисунок"/>
    <w:basedOn w:val="a"/>
    <w:next w:val="a7"/>
    <w:qFormat/>
    <w:rsid w:val="004D305B"/>
    <w:pPr>
      <w:keepNext/>
      <w:spacing w:before="240"/>
      <w:contextualSpacing/>
      <w:jc w:val="center"/>
    </w:pPr>
    <w:rPr>
      <w:i/>
      <w:noProof/>
      <w:sz w:val="26"/>
      <w:lang w:eastAsia="ru-RU"/>
    </w:rPr>
  </w:style>
  <w:style w:type="paragraph" w:styleId="a9">
    <w:name w:val="List Paragraph"/>
    <w:basedOn w:val="a"/>
    <w:uiPriority w:val="34"/>
    <w:qFormat/>
    <w:rsid w:val="00CC03D1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B557A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557A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B557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 Шарафиев</dc:creator>
  <cp:keywords/>
  <dc:description/>
  <cp:lastModifiedBy>admin</cp:lastModifiedBy>
  <cp:revision>11</cp:revision>
  <cp:lastPrinted>2020-09-30T18:20:00Z</cp:lastPrinted>
  <dcterms:created xsi:type="dcterms:W3CDTF">2020-10-01T15:00:00Z</dcterms:created>
  <dcterms:modified xsi:type="dcterms:W3CDTF">2020-10-16T10:01:00Z</dcterms:modified>
</cp:coreProperties>
</file>