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8" w:rsidRPr="00231E68" w:rsidRDefault="00231E68" w:rsidP="00231E68">
      <w:pPr>
        <w:suppressAutoHyphens/>
        <w:jc w:val="both"/>
        <w:rPr>
          <w:b/>
          <w:sz w:val="22"/>
          <w:szCs w:val="22"/>
        </w:rPr>
      </w:pPr>
      <w:r w:rsidRPr="00231E68">
        <w:rPr>
          <w:b/>
          <w:sz w:val="22"/>
          <w:szCs w:val="22"/>
        </w:rPr>
        <w:t>УДК 6</w:t>
      </w:r>
      <w:r w:rsidRPr="00231E68">
        <w:rPr>
          <w:b/>
          <w:sz w:val="22"/>
          <w:szCs w:val="22"/>
        </w:rPr>
        <w:t>21</w:t>
      </w:r>
      <w:r w:rsidRPr="00231E68">
        <w:rPr>
          <w:b/>
          <w:sz w:val="22"/>
          <w:szCs w:val="22"/>
        </w:rPr>
        <w:t>.</w:t>
      </w:r>
      <w:r w:rsidRPr="00231E68">
        <w:rPr>
          <w:b/>
          <w:sz w:val="22"/>
          <w:szCs w:val="22"/>
        </w:rPr>
        <w:t>314</w:t>
      </w:r>
      <w:r w:rsidRPr="00231E68">
        <w:rPr>
          <w:b/>
          <w:sz w:val="22"/>
          <w:szCs w:val="22"/>
        </w:rPr>
        <w:t>.</w:t>
      </w:r>
      <w:r w:rsidRPr="00231E68">
        <w:rPr>
          <w:b/>
          <w:sz w:val="22"/>
          <w:szCs w:val="22"/>
        </w:rPr>
        <w:t>1</w:t>
      </w:r>
    </w:p>
    <w:p w:rsidR="00231E68" w:rsidRPr="00231E68" w:rsidRDefault="00231E68" w:rsidP="00231E68">
      <w:pPr>
        <w:suppressAutoHyphens/>
        <w:jc w:val="both"/>
        <w:rPr>
          <w:sz w:val="22"/>
          <w:szCs w:val="22"/>
        </w:rPr>
      </w:pPr>
    </w:p>
    <w:p w:rsidR="00231E68" w:rsidRPr="00231E68" w:rsidRDefault="00231E68" w:rsidP="00231E68">
      <w:pPr>
        <w:suppressAutoHyphens/>
        <w:jc w:val="right"/>
        <w:rPr>
          <w:sz w:val="22"/>
          <w:szCs w:val="22"/>
        </w:rPr>
      </w:pPr>
      <w:r w:rsidRPr="00231E68">
        <w:rPr>
          <w:sz w:val="22"/>
          <w:szCs w:val="22"/>
        </w:rPr>
        <w:t xml:space="preserve">П.С. </w:t>
      </w:r>
      <w:proofErr w:type="spellStart"/>
      <w:r w:rsidRPr="00231E68">
        <w:rPr>
          <w:sz w:val="22"/>
          <w:szCs w:val="22"/>
        </w:rPr>
        <w:t>Татуйко</w:t>
      </w:r>
      <w:proofErr w:type="spellEnd"/>
      <w:r w:rsidRPr="00231E68">
        <w:rPr>
          <w:sz w:val="22"/>
          <w:szCs w:val="22"/>
        </w:rPr>
        <w:t xml:space="preserve"> </w:t>
      </w:r>
    </w:p>
    <w:p w:rsidR="00231E68" w:rsidRPr="00231E68" w:rsidRDefault="00231E68" w:rsidP="00231E68">
      <w:pPr>
        <w:suppressAutoHyphens/>
        <w:ind w:firstLine="397"/>
        <w:jc w:val="both"/>
        <w:rPr>
          <w:sz w:val="22"/>
          <w:szCs w:val="22"/>
        </w:rPr>
      </w:pPr>
    </w:p>
    <w:p w:rsidR="00231E68" w:rsidRPr="00231E68" w:rsidRDefault="00231E68" w:rsidP="00231E68">
      <w:pPr>
        <w:suppressAutoHyphens/>
        <w:jc w:val="right"/>
        <w:rPr>
          <w:sz w:val="22"/>
          <w:szCs w:val="22"/>
        </w:rPr>
      </w:pPr>
      <w:r w:rsidRPr="00231E68">
        <w:rPr>
          <w:sz w:val="22"/>
          <w:szCs w:val="22"/>
        </w:rPr>
        <w:t>Научный руководитель: к.т.н., доцент А.И. Власов</w:t>
      </w:r>
    </w:p>
    <w:p w:rsidR="00231E68" w:rsidRPr="00231E68" w:rsidRDefault="00231E68" w:rsidP="00231E68">
      <w:pPr>
        <w:suppressAutoHyphens/>
        <w:jc w:val="both"/>
        <w:rPr>
          <w:sz w:val="22"/>
          <w:szCs w:val="22"/>
        </w:rPr>
      </w:pPr>
    </w:p>
    <w:p w:rsidR="00231E68" w:rsidRPr="00231E68" w:rsidRDefault="00231E68" w:rsidP="00231E68">
      <w:pPr>
        <w:suppressAutoHyphens/>
        <w:jc w:val="right"/>
        <w:rPr>
          <w:sz w:val="22"/>
          <w:szCs w:val="22"/>
        </w:rPr>
      </w:pPr>
      <w:r w:rsidRPr="00231E68">
        <w:rPr>
          <w:sz w:val="22"/>
          <w:szCs w:val="22"/>
        </w:rPr>
        <w:t xml:space="preserve">ФГБОУ </w:t>
      </w:r>
      <w:proofErr w:type="gramStart"/>
      <w:r w:rsidRPr="00231E68">
        <w:rPr>
          <w:sz w:val="22"/>
          <w:szCs w:val="22"/>
        </w:rPr>
        <w:t>ВО</w:t>
      </w:r>
      <w:proofErr w:type="gramEnd"/>
      <w:r w:rsidRPr="00231E68">
        <w:rPr>
          <w:sz w:val="22"/>
          <w:szCs w:val="22"/>
        </w:rPr>
        <w:t xml:space="preserve"> «Брянский Государственный Технический Университет»</w:t>
      </w:r>
    </w:p>
    <w:p w:rsidR="00231E68" w:rsidRPr="00231E68" w:rsidRDefault="00231E68" w:rsidP="00231E68">
      <w:pPr>
        <w:suppressAutoHyphens/>
        <w:jc w:val="right"/>
        <w:rPr>
          <w:sz w:val="22"/>
          <w:szCs w:val="22"/>
        </w:rPr>
      </w:pPr>
      <w:r w:rsidRPr="00231E68">
        <w:rPr>
          <w:sz w:val="22"/>
          <w:szCs w:val="22"/>
        </w:rPr>
        <w:t>Россия, г. Брянск</w:t>
      </w:r>
    </w:p>
    <w:p w:rsidR="00691C2D" w:rsidRPr="00231E68" w:rsidRDefault="000A2EA7">
      <w:pPr>
        <w:rPr>
          <w:sz w:val="22"/>
          <w:szCs w:val="22"/>
        </w:rPr>
      </w:pPr>
    </w:p>
    <w:p w:rsidR="00231E68" w:rsidRDefault="00817BB9" w:rsidP="00231E68">
      <w:pPr>
        <w:jc w:val="center"/>
        <w:rPr>
          <w:sz w:val="22"/>
          <w:szCs w:val="22"/>
        </w:rPr>
      </w:pPr>
      <w:r w:rsidRPr="00231E68">
        <w:rPr>
          <w:sz w:val="22"/>
          <w:szCs w:val="22"/>
        </w:rPr>
        <w:t xml:space="preserve">МОДЕЛИРОВАНИЕ ПЕРЕХОДНЫХ ПРОЦЕССОВ ПОЛУМОСТОВОГО РЕЗОНАНСНОГО </w:t>
      </w:r>
      <w:r w:rsidRPr="00231E68">
        <w:rPr>
          <w:sz w:val="22"/>
          <w:szCs w:val="22"/>
          <w:lang w:val="en-US"/>
        </w:rPr>
        <w:t>LLC</w:t>
      </w:r>
      <w:r w:rsidRPr="00231E68">
        <w:rPr>
          <w:sz w:val="22"/>
          <w:szCs w:val="22"/>
        </w:rPr>
        <w:t xml:space="preserve"> ПРЕОБРАЗОВАТЕЛЯ В </w:t>
      </w:r>
      <w:r w:rsidRPr="00231E68">
        <w:rPr>
          <w:sz w:val="22"/>
          <w:szCs w:val="22"/>
          <w:lang w:val="en-US"/>
        </w:rPr>
        <w:t>MATLAB</w:t>
      </w:r>
      <w:r w:rsidRPr="00231E68">
        <w:rPr>
          <w:sz w:val="22"/>
          <w:szCs w:val="22"/>
        </w:rPr>
        <w:t xml:space="preserve"> </w:t>
      </w:r>
      <w:r w:rsidRPr="00231E68">
        <w:rPr>
          <w:sz w:val="22"/>
          <w:szCs w:val="22"/>
          <w:lang w:val="en-US"/>
        </w:rPr>
        <w:t>SIMULINK</w:t>
      </w:r>
    </w:p>
    <w:p w:rsidR="00231E68" w:rsidRDefault="00231E68" w:rsidP="00231E68">
      <w:pPr>
        <w:rPr>
          <w:sz w:val="22"/>
          <w:szCs w:val="22"/>
        </w:rPr>
      </w:pPr>
    </w:p>
    <w:p w:rsidR="00231E68" w:rsidRPr="00E54361" w:rsidRDefault="00231E68" w:rsidP="00231E68">
      <w:pPr>
        <w:ind w:firstLine="708"/>
        <w:jc w:val="both"/>
        <w:rPr>
          <w:sz w:val="22"/>
          <w:szCs w:val="22"/>
        </w:rPr>
      </w:pPr>
      <w:r w:rsidRPr="00E54361">
        <w:rPr>
          <w:sz w:val="22"/>
          <w:szCs w:val="22"/>
        </w:rPr>
        <w:t xml:space="preserve">Аннотация: приведены результаты моделирования </w:t>
      </w:r>
      <w:proofErr w:type="spellStart"/>
      <w:r w:rsidRPr="00E54361">
        <w:rPr>
          <w:sz w:val="22"/>
          <w:szCs w:val="22"/>
        </w:rPr>
        <w:t>полумостового</w:t>
      </w:r>
      <w:proofErr w:type="spellEnd"/>
      <w:r w:rsidRPr="00E54361">
        <w:rPr>
          <w:sz w:val="22"/>
          <w:szCs w:val="22"/>
        </w:rPr>
        <w:t xml:space="preserve"> резонансного </w:t>
      </w:r>
      <w:r w:rsidRPr="00E54361">
        <w:rPr>
          <w:sz w:val="22"/>
          <w:szCs w:val="22"/>
          <w:lang w:val="en-US"/>
        </w:rPr>
        <w:t>LLC</w:t>
      </w:r>
      <w:r w:rsidRPr="00E54361">
        <w:rPr>
          <w:sz w:val="22"/>
          <w:szCs w:val="22"/>
        </w:rPr>
        <w:t xml:space="preserve"> преобразователя в </w:t>
      </w:r>
      <w:proofErr w:type="spellStart"/>
      <w:r w:rsidRPr="00E54361">
        <w:rPr>
          <w:sz w:val="22"/>
          <w:szCs w:val="22"/>
          <w:lang w:val="en-US"/>
        </w:rPr>
        <w:t>Matlab</w:t>
      </w:r>
      <w:proofErr w:type="spellEnd"/>
      <w:r w:rsidRPr="00E54361">
        <w:rPr>
          <w:sz w:val="22"/>
          <w:szCs w:val="22"/>
        </w:rPr>
        <w:t xml:space="preserve"> </w:t>
      </w:r>
      <w:r w:rsidRPr="00E54361">
        <w:rPr>
          <w:sz w:val="22"/>
          <w:szCs w:val="22"/>
          <w:lang w:val="en-US"/>
        </w:rPr>
        <w:t>Simulink</w:t>
      </w:r>
      <w:r w:rsidRPr="00E54361">
        <w:rPr>
          <w:sz w:val="22"/>
          <w:szCs w:val="22"/>
        </w:rPr>
        <w:t xml:space="preserve"> при работе на полную нагрузку. Указаны преимущества </w:t>
      </w:r>
      <w:r w:rsidR="005A3F40" w:rsidRPr="00E54361">
        <w:rPr>
          <w:sz w:val="22"/>
          <w:szCs w:val="22"/>
        </w:rPr>
        <w:t>данного типа преобразователей при проектировании импульсных источников питания.</w:t>
      </w:r>
    </w:p>
    <w:p w:rsidR="005A3F40" w:rsidRPr="00E54361" w:rsidRDefault="005A3F40" w:rsidP="00231E68">
      <w:pPr>
        <w:ind w:firstLine="708"/>
        <w:jc w:val="both"/>
        <w:rPr>
          <w:sz w:val="22"/>
          <w:szCs w:val="22"/>
          <w:lang w:val="en-US"/>
        </w:rPr>
      </w:pPr>
      <w:r w:rsidRPr="00E54361">
        <w:rPr>
          <w:sz w:val="22"/>
          <w:szCs w:val="22"/>
          <w:lang w:val="en-US"/>
        </w:rPr>
        <w:t xml:space="preserve">Abstract: The results of simulation of a half-bridge resonant LLC converter in </w:t>
      </w:r>
      <w:proofErr w:type="spellStart"/>
      <w:r w:rsidRPr="00E54361">
        <w:rPr>
          <w:sz w:val="22"/>
          <w:szCs w:val="22"/>
          <w:lang w:val="en-US"/>
        </w:rPr>
        <w:t>Matlab</w:t>
      </w:r>
      <w:proofErr w:type="spellEnd"/>
      <w:r w:rsidRPr="00E54361">
        <w:rPr>
          <w:sz w:val="22"/>
          <w:szCs w:val="22"/>
          <w:lang w:val="en-US"/>
        </w:rPr>
        <w:t xml:space="preserve"> Simulink are presented at full load operation. Advantages of this type of transducers in the design of switching power supplies are indicated.</w:t>
      </w:r>
    </w:p>
    <w:p w:rsidR="005A3F40" w:rsidRDefault="00E54361" w:rsidP="00231E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Ключевые слова: переходный процесс, резонансный преобразователь.</w:t>
      </w:r>
    </w:p>
    <w:p w:rsidR="00E54361" w:rsidRDefault="00E54361" w:rsidP="00231E68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Keywords: </w:t>
      </w:r>
      <w:r w:rsidRPr="00E54361">
        <w:rPr>
          <w:sz w:val="22"/>
          <w:szCs w:val="22"/>
          <w:lang w:val="en-US"/>
        </w:rPr>
        <w:t>transitional processes</w:t>
      </w:r>
      <w:r>
        <w:rPr>
          <w:sz w:val="22"/>
          <w:szCs w:val="22"/>
          <w:lang w:val="en-US"/>
        </w:rPr>
        <w:t>, resonant converter.</w:t>
      </w:r>
    </w:p>
    <w:p w:rsidR="00E54361" w:rsidRPr="00E54361" w:rsidRDefault="00E54361" w:rsidP="00231E68">
      <w:pPr>
        <w:ind w:firstLine="708"/>
        <w:jc w:val="both"/>
        <w:rPr>
          <w:sz w:val="22"/>
          <w:szCs w:val="22"/>
          <w:lang w:val="en-US"/>
        </w:rPr>
      </w:pPr>
    </w:p>
    <w:p w:rsidR="005A3F40" w:rsidRDefault="005A3F40" w:rsidP="00231E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Изучение современной электроники невозможно без применения специальных программ автоматизированного проектирования, позволяющих в кратчайшие сроки осуществить вычисление сложных математических расчётов, определить реакцию системы на внешн</w:t>
      </w:r>
      <w:r w:rsidR="00E54361">
        <w:rPr>
          <w:sz w:val="22"/>
          <w:szCs w:val="22"/>
        </w:rPr>
        <w:t>ие</w:t>
      </w:r>
      <w:r>
        <w:rPr>
          <w:sz w:val="22"/>
          <w:szCs w:val="22"/>
        </w:rPr>
        <w:t xml:space="preserve"> воздействи</w:t>
      </w:r>
      <w:r w:rsidR="00E54361">
        <w:rPr>
          <w:sz w:val="22"/>
          <w:szCs w:val="22"/>
        </w:rPr>
        <w:t>я</w:t>
      </w:r>
      <w:r>
        <w:rPr>
          <w:sz w:val="22"/>
          <w:szCs w:val="22"/>
        </w:rPr>
        <w:t xml:space="preserve">, представить результаты измерений в графическом </w:t>
      </w:r>
      <w:r w:rsidR="00DE7D30">
        <w:rPr>
          <w:sz w:val="22"/>
          <w:szCs w:val="22"/>
        </w:rPr>
        <w:t>ил</w:t>
      </w:r>
      <w:r>
        <w:rPr>
          <w:sz w:val="22"/>
          <w:szCs w:val="22"/>
        </w:rPr>
        <w:t xml:space="preserve">и цифровом виде. Наиболее </w:t>
      </w:r>
      <w:r w:rsidR="00DE7D30">
        <w:rPr>
          <w:sz w:val="22"/>
          <w:szCs w:val="22"/>
        </w:rPr>
        <w:t xml:space="preserve">мощным и </w:t>
      </w:r>
      <w:r>
        <w:rPr>
          <w:sz w:val="22"/>
          <w:szCs w:val="22"/>
        </w:rPr>
        <w:t xml:space="preserve">распространённым программным пакетом для выполнения указанных задач является среда имитационного моделирования </w:t>
      </w:r>
      <w:proofErr w:type="spellStart"/>
      <w:r>
        <w:rPr>
          <w:sz w:val="22"/>
          <w:szCs w:val="22"/>
          <w:lang w:val="en-US"/>
        </w:rPr>
        <w:t>Matlab</w:t>
      </w:r>
      <w:proofErr w:type="spellEnd"/>
      <w:r w:rsidRPr="005A3F4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Simulink</w:t>
      </w:r>
      <w:r w:rsidRPr="005A3F40">
        <w:rPr>
          <w:sz w:val="22"/>
          <w:szCs w:val="22"/>
        </w:rPr>
        <w:t>.</w:t>
      </w:r>
    </w:p>
    <w:p w:rsidR="00E54361" w:rsidRDefault="00E54361" w:rsidP="00E54361">
      <w:pPr>
        <w:ind w:firstLine="708"/>
        <w:jc w:val="both"/>
        <w:rPr>
          <w:sz w:val="22"/>
          <w:szCs w:val="22"/>
        </w:rPr>
      </w:pPr>
      <w:r w:rsidRPr="00E54361">
        <w:rPr>
          <w:sz w:val="22"/>
          <w:szCs w:val="22"/>
        </w:rPr>
        <w:t xml:space="preserve">Быстрые темпы развития современной промышленности приводят к росту требований, предъявляемых к импульсным </w:t>
      </w:r>
      <w:r w:rsidRPr="00E54361">
        <w:rPr>
          <w:sz w:val="22"/>
          <w:szCs w:val="22"/>
        </w:rPr>
        <w:lastRenderedPageBreak/>
        <w:t>источникам питания для устройств электронной аппаратуры. Задачи повышения эффективности работы, высокой производительности, уменьшении затрат потребляемой энергии, повышении плотности монтажа выходят на первый план. Всеми перечисленными особенностями обладают резонансные источники питания</w:t>
      </w:r>
      <w:r w:rsidR="002856BE" w:rsidRPr="002856BE">
        <w:rPr>
          <w:sz w:val="22"/>
          <w:szCs w:val="22"/>
        </w:rPr>
        <w:t>.</w:t>
      </w:r>
      <w:r w:rsidR="002856BE">
        <w:rPr>
          <w:sz w:val="22"/>
          <w:szCs w:val="22"/>
        </w:rPr>
        <w:t xml:space="preserve"> </w:t>
      </w:r>
    </w:p>
    <w:p w:rsidR="00F513B3" w:rsidRDefault="002856BE" w:rsidP="00DF42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Наиболее перспективной топологией</w:t>
      </w:r>
      <w:r w:rsidR="00DE7D30">
        <w:rPr>
          <w:sz w:val="22"/>
          <w:szCs w:val="22"/>
        </w:rPr>
        <w:t xml:space="preserve"> из всего многообразия преобразователей, работающих по принципу резонансного переключения транзисторов,</w:t>
      </w:r>
      <w:r>
        <w:rPr>
          <w:sz w:val="22"/>
          <w:szCs w:val="22"/>
        </w:rPr>
        <w:t xml:space="preserve"> при работе на мощностях до 1 кВт представляется схема </w:t>
      </w:r>
      <w:proofErr w:type="spellStart"/>
      <w:r>
        <w:rPr>
          <w:sz w:val="22"/>
          <w:szCs w:val="22"/>
        </w:rPr>
        <w:t>полумостового</w:t>
      </w:r>
      <w:proofErr w:type="spellEnd"/>
      <w:r>
        <w:rPr>
          <w:sz w:val="22"/>
          <w:szCs w:val="22"/>
        </w:rPr>
        <w:t xml:space="preserve"> резонансного </w:t>
      </w:r>
      <w:r>
        <w:rPr>
          <w:sz w:val="22"/>
          <w:szCs w:val="22"/>
          <w:lang w:val="en-US"/>
        </w:rPr>
        <w:t>LLC</w:t>
      </w:r>
      <w:r w:rsidRPr="002856BE">
        <w:rPr>
          <w:sz w:val="22"/>
          <w:szCs w:val="22"/>
        </w:rPr>
        <w:t xml:space="preserve"> </w:t>
      </w:r>
      <w:r>
        <w:rPr>
          <w:sz w:val="22"/>
          <w:szCs w:val="22"/>
        </w:rPr>
        <w:t>преобразователя</w:t>
      </w:r>
      <w:proofErr w:type="gramStart"/>
      <w:r w:rsidR="00DE7D30">
        <w:rPr>
          <w:sz w:val="22"/>
          <w:szCs w:val="22"/>
        </w:rPr>
        <w:t>.</w:t>
      </w:r>
      <w:proofErr w:type="gramEnd"/>
      <w:r w:rsidR="00DF4203">
        <w:rPr>
          <w:sz w:val="22"/>
          <w:szCs w:val="22"/>
        </w:rPr>
        <w:t xml:space="preserve"> </w:t>
      </w:r>
      <w:r w:rsidR="00DE7D30">
        <w:rPr>
          <w:sz w:val="22"/>
          <w:szCs w:val="22"/>
        </w:rPr>
        <w:t xml:space="preserve">Она обеспечивает высокую </w:t>
      </w:r>
      <w:r w:rsidR="00DF4203" w:rsidRPr="00DF4203">
        <w:rPr>
          <w:sz w:val="22"/>
          <w:szCs w:val="28"/>
        </w:rPr>
        <w:t>надёжност</w:t>
      </w:r>
      <w:r w:rsidR="00DE7D30">
        <w:rPr>
          <w:sz w:val="22"/>
          <w:szCs w:val="28"/>
        </w:rPr>
        <w:t>ь</w:t>
      </w:r>
      <w:r w:rsidR="00DF4203" w:rsidRPr="00DF4203">
        <w:rPr>
          <w:sz w:val="22"/>
          <w:szCs w:val="28"/>
        </w:rPr>
        <w:t xml:space="preserve"> работы на </w:t>
      </w:r>
      <w:r w:rsidR="00DE7D30">
        <w:rPr>
          <w:sz w:val="22"/>
          <w:szCs w:val="28"/>
        </w:rPr>
        <w:t xml:space="preserve">больших </w:t>
      </w:r>
      <w:r w:rsidR="00DF4203" w:rsidRPr="00DF4203">
        <w:rPr>
          <w:sz w:val="22"/>
          <w:szCs w:val="28"/>
        </w:rPr>
        <w:t>частотах при низких коммутационных потерях и широком диапазоне входных напряжений питающей сети. В данной структуре обеспечивается переключение силовых ключей при нулевом напряжении</w:t>
      </w:r>
      <w:r w:rsidR="00950D6D">
        <w:rPr>
          <w:sz w:val="22"/>
          <w:szCs w:val="28"/>
        </w:rPr>
        <w:t xml:space="preserve"> (мягкое переключение)</w:t>
      </w:r>
      <w:r w:rsidR="00DF4203" w:rsidRPr="00DF4203">
        <w:rPr>
          <w:sz w:val="22"/>
          <w:szCs w:val="28"/>
        </w:rPr>
        <w:t xml:space="preserve">, что резко снижает динамические потери и повышает эффективность работы преобразователя, а высокая частота работы позволяет обеспечить уменьшение габаритов пассивных элементов. </w:t>
      </w:r>
      <w:r w:rsidR="00950D6D">
        <w:rPr>
          <w:sz w:val="22"/>
          <w:szCs w:val="28"/>
        </w:rPr>
        <w:t xml:space="preserve">Несомненным преимуществом является отсутствие необходимости установки дополнительных </w:t>
      </w:r>
      <w:proofErr w:type="spellStart"/>
      <w:r w:rsidR="00950D6D">
        <w:rPr>
          <w:sz w:val="22"/>
          <w:szCs w:val="28"/>
        </w:rPr>
        <w:t>снабберных</w:t>
      </w:r>
      <w:proofErr w:type="spellEnd"/>
      <w:r w:rsidR="00950D6D">
        <w:rPr>
          <w:sz w:val="22"/>
          <w:szCs w:val="28"/>
        </w:rPr>
        <w:t xml:space="preserve"> цепочек, предназначенных для гашения выброса напряжения на полупроводниковых элементах во время коммутации силовых ключей. </w:t>
      </w:r>
      <w:r w:rsidR="00DF4203">
        <w:rPr>
          <w:sz w:val="22"/>
          <w:szCs w:val="22"/>
        </w:rPr>
        <w:t>К</w:t>
      </w:r>
      <w:r>
        <w:rPr>
          <w:sz w:val="22"/>
          <w:szCs w:val="22"/>
        </w:rPr>
        <w:t xml:space="preserve">омпьютерная модель </w:t>
      </w:r>
      <w:r w:rsidR="00DF4203">
        <w:rPr>
          <w:sz w:val="22"/>
          <w:szCs w:val="22"/>
        </w:rPr>
        <w:t>данного преобразователя</w:t>
      </w:r>
      <w:r>
        <w:rPr>
          <w:sz w:val="22"/>
          <w:szCs w:val="22"/>
        </w:rPr>
        <w:t xml:space="preserve">, собранная в среде </w:t>
      </w:r>
      <w:proofErr w:type="spellStart"/>
      <w:r>
        <w:rPr>
          <w:sz w:val="22"/>
          <w:szCs w:val="22"/>
          <w:lang w:val="en-US"/>
        </w:rPr>
        <w:t>Matlab</w:t>
      </w:r>
      <w:proofErr w:type="spellEnd"/>
      <w:r w:rsidRPr="002856B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Simulink</w:t>
      </w:r>
      <w:r w:rsidRPr="002856BE">
        <w:rPr>
          <w:sz w:val="22"/>
          <w:szCs w:val="22"/>
        </w:rPr>
        <w:t xml:space="preserve">, </w:t>
      </w:r>
      <w:r>
        <w:rPr>
          <w:sz w:val="22"/>
          <w:szCs w:val="22"/>
        </w:rPr>
        <w:t>представлена на рисунке 1.</w:t>
      </w:r>
      <w:r w:rsidR="00F513B3">
        <w:rPr>
          <w:sz w:val="22"/>
          <w:szCs w:val="22"/>
        </w:rPr>
        <w:t xml:space="preserve"> </w:t>
      </w:r>
    </w:p>
    <w:p w:rsidR="00F513B3" w:rsidRDefault="00DF4203" w:rsidP="00DF420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484FFAE" wp14:editId="5D5190F3">
            <wp:extent cx="3880909" cy="1587398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 r="2443"/>
                    <a:stretch/>
                  </pic:blipFill>
                  <pic:spPr bwMode="auto">
                    <a:xfrm>
                      <a:off x="0" y="0"/>
                      <a:ext cx="3877339" cy="1585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203" w:rsidRPr="00DF4203" w:rsidRDefault="00DF4203" w:rsidP="00DF4203">
      <w:pPr>
        <w:jc w:val="center"/>
        <w:rPr>
          <w:sz w:val="20"/>
          <w:szCs w:val="22"/>
        </w:rPr>
      </w:pPr>
      <w:r w:rsidRPr="00DF4203">
        <w:rPr>
          <w:sz w:val="20"/>
          <w:szCs w:val="22"/>
        </w:rPr>
        <w:t xml:space="preserve">Рисунок 1. </w:t>
      </w:r>
      <w:proofErr w:type="spellStart"/>
      <w:r w:rsidRPr="00DF4203">
        <w:rPr>
          <w:sz w:val="20"/>
          <w:szCs w:val="22"/>
        </w:rPr>
        <w:t>Полумостовой</w:t>
      </w:r>
      <w:proofErr w:type="spellEnd"/>
      <w:r w:rsidRPr="00DF4203">
        <w:rPr>
          <w:sz w:val="20"/>
          <w:szCs w:val="22"/>
        </w:rPr>
        <w:t xml:space="preserve"> резонансный </w:t>
      </w:r>
      <w:r w:rsidRPr="00DF4203">
        <w:rPr>
          <w:sz w:val="20"/>
          <w:szCs w:val="22"/>
          <w:lang w:val="en-US"/>
        </w:rPr>
        <w:t>LLC</w:t>
      </w:r>
      <w:r w:rsidRPr="00DF4203">
        <w:rPr>
          <w:sz w:val="20"/>
          <w:szCs w:val="22"/>
        </w:rPr>
        <w:t xml:space="preserve"> преобразователь</w:t>
      </w:r>
    </w:p>
    <w:p w:rsidR="00DE7D30" w:rsidRDefault="00DE7D30" w:rsidP="00DF4203">
      <w:pPr>
        <w:ind w:firstLine="708"/>
        <w:jc w:val="both"/>
        <w:rPr>
          <w:sz w:val="22"/>
          <w:szCs w:val="22"/>
        </w:rPr>
      </w:pPr>
    </w:p>
    <w:p w:rsidR="002856BE" w:rsidRDefault="00F513B3" w:rsidP="00DF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Был осуществлен расчёт </w:t>
      </w:r>
      <w:r w:rsidR="00950D6D">
        <w:rPr>
          <w:sz w:val="22"/>
          <w:szCs w:val="22"/>
        </w:rPr>
        <w:t xml:space="preserve">резонансного </w:t>
      </w:r>
      <w:r>
        <w:rPr>
          <w:sz w:val="22"/>
          <w:szCs w:val="22"/>
        </w:rPr>
        <w:t xml:space="preserve">трансформатора преобразователя </w:t>
      </w:r>
      <w:r w:rsidRPr="00F513B3">
        <w:rPr>
          <w:sz w:val="22"/>
          <w:szCs w:val="22"/>
        </w:rPr>
        <w:t>[1]</w:t>
      </w:r>
      <w:r>
        <w:rPr>
          <w:sz w:val="22"/>
          <w:szCs w:val="22"/>
        </w:rPr>
        <w:t xml:space="preserve"> по параметрам, указанным в таблице 1. </w:t>
      </w:r>
      <w:r w:rsidR="00950D6D">
        <w:rPr>
          <w:sz w:val="22"/>
          <w:szCs w:val="22"/>
        </w:rPr>
        <w:t>О</w:t>
      </w:r>
      <w:r>
        <w:rPr>
          <w:sz w:val="22"/>
          <w:szCs w:val="22"/>
        </w:rPr>
        <w:t>пределена ёмкость резонансного конденсатора и выходного фильтра при работе на заданную резонансную частоту.</w:t>
      </w:r>
    </w:p>
    <w:p w:rsidR="00DF4203" w:rsidRDefault="00DF4203" w:rsidP="00DF42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Таблица 1 - Значения исходных параметров </w:t>
      </w:r>
      <w:proofErr w:type="spellStart"/>
      <w:r>
        <w:rPr>
          <w:sz w:val="22"/>
          <w:szCs w:val="22"/>
        </w:rPr>
        <w:t>полумостового</w:t>
      </w:r>
      <w:proofErr w:type="spellEnd"/>
      <w:r>
        <w:rPr>
          <w:sz w:val="22"/>
          <w:szCs w:val="22"/>
        </w:rPr>
        <w:t xml:space="preserve"> резонансного </w:t>
      </w:r>
      <w:r>
        <w:rPr>
          <w:sz w:val="22"/>
          <w:szCs w:val="22"/>
          <w:lang w:val="en-US"/>
        </w:rPr>
        <w:t>LLC</w:t>
      </w:r>
      <w:r w:rsidRPr="00DF4203">
        <w:rPr>
          <w:sz w:val="22"/>
          <w:szCs w:val="22"/>
        </w:rPr>
        <w:t xml:space="preserve"> </w:t>
      </w:r>
      <w:r>
        <w:rPr>
          <w:sz w:val="22"/>
          <w:szCs w:val="22"/>
        </w:rPr>
        <w:t>преобразователя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09"/>
        <w:gridCol w:w="1230"/>
      </w:tblGrid>
      <w:tr w:rsidR="00DF4203" w:rsidTr="00DE7D30">
        <w:trPr>
          <w:trHeight w:val="340"/>
        </w:trPr>
        <w:tc>
          <w:tcPr>
            <w:tcW w:w="403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F4203">
              <w:rPr>
                <w:sz w:val="20"/>
              </w:rPr>
              <w:t>Наименование параметра</w:t>
            </w:r>
          </w:p>
        </w:tc>
        <w:tc>
          <w:tcPr>
            <w:tcW w:w="97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203">
              <w:rPr>
                <w:sz w:val="20"/>
              </w:rPr>
              <w:t>Значение</w:t>
            </w:r>
          </w:p>
        </w:tc>
      </w:tr>
      <w:tr w:rsidR="00DF4203" w:rsidTr="00DE7D30">
        <w:trPr>
          <w:trHeight w:val="340"/>
        </w:trPr>
        <w:tc>
          <w:tcPr>
            <w:tcW w:w="403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F4203">
              <w:rPr>
                <w:sz w:val="20"/>
              </w:rPr>
              <w:t>Минимальное входное напряжение (</w:t>
            </w:r>
            <w:proofErr w:type="spellStart"/>
            <w:r w:rsidRPr="00DF4203">
              <w:rPr>
                <w:i/>
                <w:sz w:val="20"/>
                <w:lang w:val="en-US"/>
              </w:rPr>
              <w:t>U</w:t>
            </w:r>
            <w:r w:rsidRPr="00DF4203">
              <w:rPr>
                <w:i/>
                <w:sz w:val="20"/>
                <w:vertAlign w:val="subscript"/>
                <w:lang w:val="en-US"/>
              </w:rPr>
              <w:t>inmin</w:t>
            </w:r>
            <w:proofErr w:type="spellEnd"/>
            <w:r w:rsidRPr="00DF4203">
              <w:rPr>
                <w:sz w:val="20"/>
              </w:rPr>
              <w:t xml:space="preserve">), </w:t>
            </w:r>
            <w:proofErr w:type="gramStart"/>
            <w:r w:rsidRPr="00DF4203">
              <w:rPr>
                <w:sz w:val="20"/>
              </w:rPr>
              <w:t>В</w:t>
            </w:r>
            <w:proofErr w:type="gramEnd"/>
          </w:p>
        </w:tc>
        <w:tc>
          <w:tcPr>
            <w:tcW w:w="97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DF4203">
              <w:rPr>
                <w:sz w:val="20"/>
              </w:rPr>
              <w:t>350</w:t>
            </w:r>
          </w:p>
        </w:tc>
      </w:tr>
      <w:tr w:rsidR="00DF4203" w:rsidTr="00DE7D30">
        <w:trPr>
          <w:trHeight w:val="340"/>
        </w:trPr>
        <w:tc>
          <w:tcPr>
            <w:tcW w:w="403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F4203">
              <w:rPr>
                <w:sz w:val="20"/>
              </w:rPr>
              <w:t>Номинальное входное напряжение (</w:t>
            </w:r>
            <w:proofErr w:type="spellStart"/>
            <w:r w:rsidRPr="00DF4203">
              <w:rPr>
                <w:i/>
                <w:sz w:val="20"/>
                <w:lang w:val="en-US"/>
              </w:rPr>
              <w:t>U</w:t>
            </w:r>
            <w:r w:rsidRPr="00DF4203">
              <w:rPr>
                <w:i/>
                <w:sz w:val="20"/>
                <w:vertAlign w:val="subscript"/>
                <w:lang w:val="en-US"/>
              </w:rPr>
              <w:t>inmnom</w:t>
            </w:r>
            <w:proofErr w:type="spellEnd"/>
            <w:r w:rsidRPr="00DF4203">
              <w:rPr>
                <w:sz w:val="20"/>
              </w:rPr>
              <w:t xml:space="preserve">), </w:t>
            </w:r>
            <w:proofErr w:type="gramStart"/>
            <w:r w:rsidRPr="00DF4203">
              <w:rPr>
                <w:sz w:val="20"/>
              </w:rPr>
              <w:t>В</w:t>
            </w:r>
            <w:proofErr w:type="gramEnd"/>
          </w:p>
        </w:tc>
        <w:tc>
          <w:tcPr>
            <w:tcW w:w="97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203">
              <w:rPr>
                <w:sz w:val="20"/>
              </w:rPr>
              <w:t>380</w:t>
            </w:r>
          </w:p>
        </w:tc>
      </w:tr>
      <w:tr w:rsidR="00DF4203" w:rsidTr="00DE7D30">
        <w:trPr>
          <w:trHeight w:val="340"/>
        </w:trPr>
        <w:tc>
          <w:tcPr>
            <w:tcW w:w="403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F4203">
              <w:rPr>
                <w:sz w:val="20"/>
              </w:rPr>
              <w:t>Максимальное входное напряжение (</w:t>
            </w:r>
            <w:proofErr w:type="spellStart"/>
            <w:r w:rsidRPr="00DF4203">
              <w:rPr>
                <w:i/>
                <w:sz w:val="20"/>
                <w:lang w:val="en-US"/>
              </w:rPr>
              <w:t>U</w:t>
            </w:r>
            <w:r w:rsidRPr="00DF4203">
              <w:rPr>
                <w:i/>
                <w:sz w:val="20"/>
                <w:vertAlign w:val="subscript"/>
                <w:lang w:val="en-US"/>
              </w:rPr>
              <w:t>inmax</w:t>
            </w:r>
            <w:proofErr w:type="spellEnd"/>
            <w:r w:rsidRPr="00DF4203">
              <w:rPr>
                <w:sz w:val="20"/>
              </w:rPr>
              <w:t xml:space="preserve">), </w:t>
            </w:r>
            <w:proofErr w:type="gramStart"/>
            <w:r w:rsidRPr="00DF4203">
              <w:rPr>
                <w:sz w:val="20"/>
              </w:rPr>
              <w:t>В</w:t>
            </w:r>
            <w:proofErr w:type="gramEnd"/>
          </w:p>
        </w:tc>
        <w:tc>
          <w:tcPr>
            <w:tcW w:w="97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203">
              <w:rPr>
                <w:sz w:val="20"/>
              </w:rPr>
              <w:t>400</w:t>
            </w:r>
          </w:p>
        </w:tc>
      </w:tr>
      <w:tr w:rsidR="00DF4203" w:rsidTr="00DE7D30">
        <w:trPr>
          <w:trHeight w:val="340"/>
        </w:trPr>
        <w:tc>
          <w:tcPr>
            <w:tcW w:w="403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F4203">
              <w:rPr>
                <w:sz w:val="20"/>
              </w:rPr>
              <w:t>Номинальное выходное напряжение (</w:t>
            </w:r>
            <w:proofErr w:type="spellStart"/>
            <w:r w:rsidRPr="00DF4203">
              <w:rPr>
                <w:i/>
                <w:sz w:val="20"/>
                <w:lang w:val="en-US"/>
              </w:rPr>
              <w:t>U</w:t>
            </w:r>
            <w:r w:rsidRPr="00DF4203">
              <w:rPr>
                <w:i/>
                <w:sz w:val="20"/>
                <w:vertAlign w:val="subscript"/>
                <w:lang w:val="en-US"/>
              </w:rPr>
              <w:t>out</w:t>
            </w:r>
            <w:proofErr w:type="spellEnd"/>
            <w:r w:rsidRPr="00DF4203">
              <w:rPr>
                <w:sz w:val="20"/>
              </w:rPr>
              <w:t xml:space="preserve">), </w:t>
            </w:r>
            <w:proofErr w:type="gramStart"/>
            <w:r w:rsidRPr="00DF4203">
              <w:rPr>
                <w:sz w:val="20"/>
              </w:rPr>
              <w:t>В</w:t>
            </w:r>
            <w:proofErr w:type="gramEnd"/>
          </w:p>
        </w:tc>
        <w:tc>
          <w:tcPr>
            <w:tcW w:w="97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203">
              <w:rPr>
                <w:sz w:val="20"/>
              </w:rPr>
              <w:t>24</w:t>
            </w:r>
          </w:p>
        </w:tc>
      </w:tr>
      <w:tr w:rsidR="00DF4203" w:rsidTr="00DE7D30">
        <w:trPr>
          <w:trHeight w:val="340"/>
        </w:trPr>
        <w:tc>
          <w:tcPr>
            <w:tcW w:w="403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F4203">
              <w:rPr>
                <w:sz w:val="20"/>
              </w:rPr>
              <w:t>Номинальный выходной ток (</w:t>
            </w:r>
            <w:proofErr w:type="spellStart"/>
            <w:r w:rsidRPr="00DF4203">
              <w:rPr>
                <w:i/>
                <w:sz w:val="20"/>
                <w:lang w:val="en-US"/>
              </w:rPr>
              <w:t>I</w:t>
            </w:r>
            <w:r w:rsidRPr="00DF4203">
              <w:rPr>
                <w:i/>
                <w:sz w:val="20"/>
                <w:vertAlign w:val="subscript"/>
                <w:lang w:val="en-US"/>
              </w:rPr>
              <w:t>out</w:t>
            </w:r>
            <w:proofErr w:type="spellEnd"/>
            <w:r w:rsidRPr="00DF4203">
              <w:rPr>
                <w:sz w:val="20"/>
              </w:rPr>
              <w:t>), А</w:t>
            </w:r>
          </w:p>
        </w:tc>
        <w:tc>
          <w:tcPr>
            <w:tcW w:w="970" w:type="pct"/>
            <w:vAlign w:val="center"/>
          </w:tcPr>
          <w:p w:rsidR="00DF4203" w:rsidRPr="00DF4203" w:rsidRDefault="00950D6D" w:rsidP="00DF42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F4203" w:rsidTr="00DE7D30">
        <w:trPr>
          <w:trHeight w:val="340"/>
        </w:trPr>
        <w:tc>
          <w:tcPr>
            <w:tcW w:w="4030" w:type="pct"/>
            <w:vAlign w:val="center"/>
          </w:tcPr>
          <w:p w:rsidR="00DF4203" w:rsidRPr="00DF4203" w:rsidRDefault="00DF4203" w:rsidP="00DF42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F4203">
              <w:rPr>
                <w:sz w:val="20"/>
              </w:rPr>
              <w:t>Резонансная частота (</w:t>
            </w:r>
            <w:proofErr w:type="spellStart"/>
            <w:r w:rsidRPr="00DF4203">
              <w:rPr>
                <w:i/>
                <w:sz w:val="20"/>
                <w:lang w:val="en-US"/>
              </w:rPr>
              <w:t>f</w:t>
            </w:r>
            <w:r w:rsidRPr="00DF4203">
              <w:rPr>
                <w:i/>
                <w:sz w:val="20"/>
                <w:vertAlign w:val="subscript"/>
                <w:lang w:val="en-US"/>
              </w:rPr>
              <w:t>r</w:t>
            </w:r>
            <w:proofErr w:type="spellEnd"/>
            <w:r w:rsidRPr="00DF4203">
              <w:rPr>
                <w:sz w:val="20"/>
              </w:rPr>
              <w:t>), кГц</w:t>
            </w:r>
          </w:p>
        </w:tc>
        <w:tc>
          <w:tcPr>
            <w:tcW w:w="970" w:type="pct"/>
            <w:vAlign w:val="center"/>
          </w:tcPr>
          <w:p w:rsidR="00DF4203" w:rsidRPr="00DF4203" w:rsidRDefault="00950D6D" w:rsidP="00DF42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</w:tbl>
    <w:p w:rsidR="00DF4203" w:rsidRDefault="00DF4203" w:rsidP="00BB1851">
      <w:pPr>
        <w:ind w:firstLine="708"/>
        <w:jc w:val="both"/>
        <w:rPr>
          <w:sz w:val="22"/>
          <w:szCs w:val="22"/>
        </w:rPr>
      </w:pPr>
    </w:p>
    <w:p w:rsidR="006E00C9" w:rsidRDefault="00BB1851" w:rsidP="00BB185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 заданным параметрам было произведено моделирование собранной схемы. Форма выходного тока и напряжения представлена на рисунке 2.</w:t>
      </w:r>
      <w:r w:rsidR="006E00C9">
        <w:rPr>
          <w:sz w:val="22"/>
          <w:szCs w:val="22"/>
        </w:rPr>
        <w:t xml:space="preserve"> </w:t>
      </w:r>
    </w:p>
    <w:p w:rsidR="00BB1851" w:rsidRDefault="00BB1851" w:rsidP="006E00C9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983195" cy="182148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107" cy="182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C9" w:rsidRDefault="006E00C9" w:rsidP="006E00C9">
      <w:pPr>
        <w:jc w:val="center"/>
        <w:rPr>
          <w:sz w:val="20"/>
          <w:szCs w:val="22"/>
        </w:rPr>
      </w:pPr>
      <w:r w:rsidRPr="006E00C9">
        <w:rPr>
          <w:sz w:val="20"/>
          <w:szCs w:val="22"/>
        </w:rPr>
        <w:t xml:space="preserve">Рисунок 2. </w:t>
      </w:r>
      <w:r>
        <w:rPr>
          <w:sz w:val="20"/>
          <w:szCs w:val="22"/>
        </w:rPr>
        <w:t xml:space="preserve">Форма выходного тока и напряжения </w:t>
      </w:r>
      <w:proofErr w:type="spellStart"/>
      <w:r>
        <w:rPr>
          <w:sz w:val="20"/>
          <w:szCs w:val="22"/>
        </w:rPr>
        <w:t>полумостового</w:t>
      </w:r>
      <w:proofErr w:type="spellEnd"/>
      <w:r>
        <w:rPr>
          <w:sz w:val="20"/>
          <w:szCs w:val="22"/>
        </w:rPr>
        <w:t xml:space="preserve"> резонансного </w:t>
      </w:r>
      <w:r>
        <w:rPr>
          <w:sz w:val="20"/>
          <w:szCs w:val="22"/>
          <w:lang w:val="en-US"/>
        </w:rPr>
        <w:t>LLC</w:t>
      </w:r>
      <w:r w:rsidRPr="006E00C9">
        <w:rPr>
          <w:sz w:val="20"/>
          <w:szCs w:val="22"/>
        </w:rPr>
        <w:t xml:space="preserve"> </w:t>
      </w:r>
      <w:r w:rsidR="00817BB9">
        <w:rPr>
          <w:sz w:val="20"/>
          <w:szCs w:val="22"/>
        </w:rPr>
        <w:t>преобразователя</w:t>
      </w:r>
    </w:p>
    <w:p w:rsidR="00817BB9" w:rsidRDefault="006E00C9" w:rsidP="006E00C9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</w:r>
    </w:p>
    <w:p w:rsidR="006E00C9" w:rsidRDefault="006E00C9" w:rsidP="00817BB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рисунке 3 представлены форма тока и напряжения </w:t>
      </w:r>
      <w:r w:rsidR="00817BB9">
        <w:rPr>
          <w:sz w:val="22"/>
          <w:szCs w:val="22"/>
        </w:rPr>
        <w:t>через силовые ключи преобразователя</w:t>
      </w:r>
      <w:r>
        <w:rPr>
          <w:sz w:val="22"/>
          <w:szCs w:val="22"/>
        </w:rPr>
        <w:t>. Ток имеет синусоидальную форму, что обеспечивается благодаря наличию индуктивности рассеивания трансформатора</w:t>
      </w:r>
      <w:r w:rsidR="00DE7D30">
        <w:rPr>
          <w:sz w:val="22"/>
          <w:szCs w:val="22"/>
        </w:rPr>
        <w:t xml:space="preserve"> (выполняет </w:t>
      </w:r>
      <w:r w:rsidR="00DE7D30">
        <w:rPr>
          <w:sz w:val="22"/>
          <w:szCs w:val="22"/>
        </w:rPr>
        <w:lastRenderedPageBreak/>
        <w:t>функцию внешнего резонансного дросселя)</w:t>
      </w:r>
      <w:r>
        <w:rPr>
          <w:sz w:val="22"/>
          <w:szCs w:val="22"/>
        </w:rPr>
        <w:t>, которая в совокупности с последовательно установленным конденсатором обеспечивают резонансный контур. Данный ток протекает через силовые транзисторы. Включение одного из полупроводниковых ключей осуществляется в тот момент времени, когда второй ключ выключ</w:t>
      </w:r>
      <w:r w:rsidR="00817BB9">
        <w:rPr>
          <w:sz w:val="22"/>
          <w:szCs w:val="22"/>
        </w:rPr>
        <w:t>ен</w:t>
      </w:r>
      <w:r>
        <w:rPr>
          <w:sz w:val="22"/>
          <w:szCs w:val="22"/>
        </w:rPr>
        <w:t xml:space="preserve"> и полностью разря</w:t>
      </w:r>
      <w:r w:rsidR="00817BB9">
        <w:rPr>
          <w:sz w:val="22"/>
          <w:szCs w:val="22"/>
        </w:rPr>
        <w:t>жена</w:t>
      </w:r>
      <w:r>
        <w:rPr>
          <w:sz w:val="22"/>
          <w:szCs w:val="22"/>
        </w:rPr>
        <w:t xml:space="preserve"> паразитная ёмкость</w:t>
      </w:r>
      <w:r w:rsidR="00817BB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Mosfet</w:t>
      </w:r>
      <w:proofErr w:type="spellEnd"/>
      <w:r w:rsidRPr="006E00C9">
        <w:rPr>
          <w:sz w:val="22"/>
          <w:szCs w:val="22"/>
        </w:rPr>
        <w:t>-</w:t>
      </w:r>
      <w:r w:rsidR="00817BB9">
        <w:rPr>
          <w:sz w:val="22"/>
          <w:szCs w:val="22"/>
        </w:rPr>
        <w:t>транзистора.</w:t>
      </w:r>
    </w:p>
    <w:p w:rsidR="006E00C9" w:rsidRDefault="006E00C9" w:rsidP="006E00C9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888105" cy="177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C9" w:rsidRPr="00817BB9" w:rsidRDefault="006E00C9" w:rsidP="006E00C9">
      <w:pPr>
        <w:jc w:val="center"/>
        <w:rPr>
          <w:sz w:val="20"/>
          <w:szCs w:val="22"/>
        </w:rPr>
      </w:pPr>
      <w:r w:rsidRPr="006E00C9">
        <w:rPr>
          <w:sz w:val="20"/>
          <w:szCs w:val="22"/>
        </w:rPr>
        <w:t>Рисунок 3.</w:t>
      </w:r>
      <w:r>
        <w:rPr>
          <w:sz w:val="20"/>
          <w:szCs w:val="22"/>
        </w:rPr>
        <w:t xml:space="preserve"> Форма тока и напряжен</w:t>
      </w:r>
      <w:r w:rsidR="00817BB9">
        <w:rPr>
          <w:sz w:val="20"/>
          <w:szCs w:val="22"/>
        </w:rPr>
        <w:t xml:space="preserve">ия через силовые транзисторы </w:t>
      </w:r>
      <w:proofErr w:type="spellStart"/>
      <w:r w:rsidR="00817BB9">
        <w:rPr>
          <w:sz w:val="20"/>
          <w:szCs w:val="22"/>
        </w:rPr>
        <w:t>полумостового</w:t>
      </w:r>
      <w:proofErr w:type="spellEnd"/>
      <w:r w:rsidR="00817BB9">
        <w:rPr>
          <w:sz w:val="20"/>
          <w:szCs w:val="22"/>
        </w:rPr>
        <w:t xml:space="preserve"> резонансного </w:t>
      </w:r>
      <w:r w:rsidR="00817BB9">
        <w:rPr>
          <w:sz w:val="20"/>
          <w:szCs w:val="22"/>
          <w:lang w:val="en-US"/>
        </w:rPr>
        <w:t>LLC</w:t>
      </w:r>
      <w:r w:rsidR="00817BB9" w:rsidRPr="00817BB9">
        <w:rPr>
          <w:sz w:val="20"/>
          <w:szCs w:val="22"/>
        </w:rPr>
        <w:t xml:space="preserve"> </w:t>
      </w:r>
      <w:r w:rsidR="00817BB9">
        <w:rPr>
          <w:sz w:val="20"/>
          <w:szCs w:val="22"/>
        </w:rPr>
        <w:t>преобразователя</w:t>
      </w:r>
    </w:p>
    <w:p w:rsidR="00817BB9" w:rsidRDefault="00817BB9" w:rsidP="006E00C9">
      <w:pPr>
        <w:ind w:firstLine="708"/>
        <w:jc w:val="both"/>
        <w:rPr>
          <w:sz w:val="22"/>
          <w:szCs w:val="22"/>
        </w:rPr>
      </w:pPr>
    </w:p>
    <w:p w:rsidR="00817BB9" w:rsidRPr="00065301" w:rsidRDefault="006E00C9" w:rsidP="00817BB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Данный режим работы обеспечивает максимальную эффективность</w:t>
      </w:r>
      <w:r w:rsidR="00817BB9">
        <w:rPr>
          <w:sz w:val="22"/>
          <w:szCs w:val="22"/>
        </w:rPr>
        <w:t xml:space="preserve"> работы преобразователя</w:t>
      </w:r>
      <w:r>
        <w:rPr>
          <w:sz w:val="22"/>
          <w:szCs w:val="22"/>
        </w:rPr>
        <w:t>. В реальных устройствах при изменении нагрузки соответственно</w:t>
      </w:r>
      <w:r w:rsidR="00817BB9">
        <w:rPr>
          <w:sz w:val="22"/>
          <w:szCs w:val="22"/>
        </w:rPr>
        <w:t xml:space="preserve"> осуществляется изменение резонансной</w:t>
      </w:r>
      <w:r>
        <w:rPr>
          <w:sz w:val="22"/>
          <w:szCs w:val="22"/>
        </w:rPr>
        <w:t xml:space="preserve"> частот</w:t>
      </w:r>
      <w:r w:rsidR="00817BB9">
        <w:rPr>
          <w:sz w:val="22"/>
          <w:szCs w:val="22"/>
        </w:rPr>
        <w:t>ы</w:t>
      </w:r>
      <w:r>
        <w:rPr>
          <w:sz w:val="22"/>
          <w:szCs w:val="22"/>
        </w:rPr>
        <w:t xml:space="preserve"> до тех пределов, пока не будет обеспечен максимум КПД устройства</w:t>
      </w:r>
      <w:proofErr w:type="gramStart"/>
      <w:r w:rsidR="00065301">
        <w:rPr>
          <w:sz w:val="22"/>
          <w:szCs w:val="22"/>
        </w:rPr>
        <w:t>.</w:t>
      </w:r>
      <w:proofErr w:type="gramEnd"/>
      <w:r w:rsidR="00817BB9">
        <w:rPr>
          <w:sz w:val="22"/>
          <w:szCs w:val="22"/>
        </w:rPr>
        <w:t xml:space="preserve"> </w:t>
      </w:r>
      <w:r w:rsidR="00065301">
        <w:rPr>
          <w:sz w:val="22"/>
          <w:szCs w:val="22"/>
        </w:rPr>
        <w:t>В</w:t>
      </w:r>
      <w:r w:rsidR="00817BB9">
        <w:rPr>
          <w:sz w:val="22"/>
          <w:szCs w:val="22"/>
        </w:rPr>
        <w:t xml:space="preserve"> противном случае преобразователь работает на частотах либо выше, либо ниже </w:t>
      </w:r>
      <w:proofErr w:type="gramStart"/>
      <w:r w:rsidR="00817BB9">
        <w:rPr>
          <w:sz w:val="22"/>
          <w:szCs w:val="22"/>
        </w:rPr>
        <w:t>резонансной</w:t>
      </w:r>
      <w:proofErr w:type="gramEnd"/>
      <w:r w:rsidR="00817BB9">
        <w:rPr>
          <w:sz w:val="22"/>
          <w:szCs w:val="22"/>
        </w:rPr>
        <w:t xml:space="preserve">, что негативно сказывается на КПД </w:t>
      </w:r>
      <w:r w:rsidR="00065301">
        <w:rPr>
          <w:sz w:val="22"/>
          <w:szCs w:val="22"/>
        </w:rPr>
        <w:t xml:space="preserve">преобразователя </w:t>
      </w:r>
      <w:r w:rsidR="00817BB9" w:rsidRPr="00817BB9">
        <w:rPr>
          <w:sz w:val="22"/>
          <w:szCs w:val="22"/>
        </w:rPr>
        <w:t>[2]</w:t>
      </w:r>
      <w:r w:rsidR="00817BB9">
        <w:rPr>
          <w:sz w:val="22"/>
          <w:szCs w:val="22"/>
        </w:rPr>
        <w:t>.</w:t>
      </w:r>
    </w:p>
    <w:p w:rsidR="00B42F6C" w:rsidRDefault="00B42F6C" w:rsidP="006E00C9">
      <w:pPr>
        <w:ind w:firstLine="708"/>
        <w:jc w:val="both"/>
        <w:rPr>
          <w:sz w:val="22"/>
          <w:szCs w:val="22"/>
        </w:rPr>
      </w:pPr>
    </w:p>
    <w:p w:rsidR="00817BB9" w:rsidRPr="00B42F6C" w:rsidRDefault="00817BB9" w:rsidP="006E00C9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  <w:bookmarkStart w:id="0" w:name="_GoBack"/>
      <w:bookmarkEnd w:id="0"/>
    </w:p>
    <w:p w:rsidR="00817BB9" w:rsidRDefault="00B42F6C" w:rsidP="00B42F6C">
      <w:pPr>
        <w:ind w:firstLine="708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1. </w:t>
      </w:r>
      <w:proofErr w:type="spellStart"/>
      <w:r w:rsidRPr="00B42F6C">
        <w:rPr>
          <w:i/>
          <w:sz w:val="22"/>
          <w:lang w:val="en-US"/>
        </w:rPr>
        <w:t>Ya</w:t>
      </w:r>
      <w:proofErr w:type="spellEnd"/>
      <w:r w:rsidRPr="00B42F6C">
        <w:rPr>
          <w:i/>
          <w:sz w:val="22"/>
          <w:lang w:val="en-US"/>
        </w:rPr>
        <w:t xml:space="preserve"> Liu</w:t>
      </w:r>
      <w:r w:rsidRPr="00B42F6C">
        <w:rPr>
          <w:sz w:val="22"/>
          <w:lang w:val="en-US"/>
        </w:rPr>
        <w:t xml:space="preserve">, «High Efficiency Optimization of LLC Resonant Converter for Wide Load Range», Virginia Polytechnic Inst. &amp; State Univ., Blacksburg, VA, 2007 – 106 </w:t>
      </w:r>
      <w:r w:rsidRPr="00B42F6C">
        <w:rPr>
          <w:sz w:val="22"/>
        </w:rPr>
        <w:t>с</w:t>
      </w:r>
      <w:r>
        <w:rPr>
          <w:sz w:val="22"/>
          <w:lang w:val="en-US"/>
        </w:rPr>
        <w:t>.</w:t>
      </w:r>
    </w:p>
    <w:p w:rsidR="00B42F6C" w:rsidRPr="00B42F6C" w:rsidRDefault="00B42F6C" w:rsidP="00B42F6C">
      <w:pPr>
        <w:ind w:firstLine="708"/>
        <w:jc w:val="both"/>
        <w:rPr>
          <w:sz w:val="18"/>
          <w:szCs w:val="22"/>
          <w:lang w:val="en-US"/>
        </w:rPr>
      </w:pPr>
      <w:proofErr w:type="gramStart"/>
      <w:r>
        <w:rPr>
          <w:sz w:val="22"/>
          <w:lang w:val="en-US"/>
        </w:rPr>
        <w:t xml:space="preserve">2. </w:t>
      </w:r>
      <w:proofErr w:type="spellStart"/>
      <w:r w:rsidRPr="00B42F6C">
        <w:rPr>
          <w:i/>
          <w:sz w:val="22"/>
          <w:szCs w:val="28"/>
          <w:lang w:val="en-US"/>
        </w:rPr>
        <w:t>Alfio</w:t>
      </w:r>
      <w:proofErr w:type="spellEnd"/>
      <w:r w:rsidRPr="00B42F6C">
        <w:rPr>
          <w:i/>
          <w:sz w:val="22"/>
          <w:szCs w:val="28"/>
          <w:lang w:val="en-US"/>
        </w:rPr>
        <w:t xml:space="preserve"> </w:t>
      </w:r>
      <w:proofErr w:type="spellStart"/>
      <w:r w:rsidRPr="00B42F6C">
        <w:rPr>
          <w:i/>
          <w:sz w:val="22"/>
          <w:szCs w:val="28"/>
          <w:lang w:val="en-US"/>
        </w:rPr>
        <w:t>Scuto</w:t>
      </w:r>
      <w:proofErr w:type="spellEnd"/>
      <w:r w:rsidRPr="00B42F6C">
        <w:rPr>
          <w:sz w:val="22"/>
          <w:szCs w:val="28"/>
          <w:lang w:val="en-US"/>
        </w:rPr>
        <w:t xml:space="preserve">, «Half bridge resonant LLC converter and primary side MOSFET selection», STMicroelectronics, Application Note 4720, 2015 – 26 </w:t>
      </w:r>
      <w:r w:rsidRPr="00B42F6C">
        <w:rPr>
          <w:sz w:val="22"/>
          <w:szCs w:val="28"/>
        </w:rPr>
        <w:t>с</w:t>
      </w:r>
      <w:r w:rsidRPr="00B42F6C">
        <w:rPr>
          <w:sz w:val="22"/>
          <w:szCs w:val="28"/>
          <w:lang w:val="en-US"/>
        </w:rPr>
        <w:t>.</w:t>
      </w:r>
      <w:proofErr w:type="gramEnd"/>
    </w:p>
    <w:sectPr w:rsidR="00B42F6C" w:rsidRPr="00B42F6C" w:rsidSect="00231E68">
      <w:pgSz w:w="8391" w:h="11907" w:code="11"/>
      <w:pgMar w:top="1134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A7" w:rsidRDefault="000A2EA7" w:rsidP="00231E68">
      <w:r>
        <w:separator/>
      </w:r>
    </w:p>
  </w:endnote>
  <w:endnote w:type="continuationSeparator" w:id="0">
    <w:p w:rsidR="000A2EA7" w:rsidRDefault="000A2EA7" w:rsidP="0023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A7" w:rsidRDefault="000A2EA7" w:rsidP="00231E68">
      <w:r>
        <w:separator/>
      </w:r>
    </w:p>
  </w:footnote>
  <w:footnote w:type="continuationSeparator" w:id="0">
    <w:p w:rsidR="000A2EA7" w:rsidRDefault="000A2EA7" w:rsidP="0023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B300C"/>
    <w:multiLevelType w:val="hybridMultilevel"/>
    <w:tmpl w:val="D56C20C6"/>
    <w:lvl w:ilvl="0" w:tplc="79A2D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630E17"/>
    <w:multiLevelType w:val="hybridMultilevel"/>
    <w:tmpl w:val="58041C8A"/>
    <w:lvl w:ilvl="0" w:tplc="6180F0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082B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227C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D62D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5CA5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BE0A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6C9C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FE08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E848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5C"/>
    <w:rsid w:val="00065301"/>
    <w:rsid w:val="000A2EA7"/>
    <w:rsid w:val="00231E68"/>
    <w:rsid w:val="0028501F"/>
    <w:rsid w:val="002856BE"/>
    <w:rsid w:val="005A3F40"/>
    <w:rsid w:val="006E00C9"/>
    <w:rsid w:val="00817BB9"/>
    <w:rsid w:val="0086115D"/>
    <w:rsid w:val="00950D6D"/>
    <w:rsid w:val="00A74A5C"/>
    <w:rsid w:val="00B42F6C"/>
    <w:rsid w:val="00BB1851"/>
    <w:rsid w:val="00C233C5"/>
    <w:rsid w:val="00DE7D30"/>
    <w:rsid w:val="00DF4203"/>
    <w:rsid w:val="00E54361"/>
    <w:rsid w:val="00F5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1E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1E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1E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42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20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17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1E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1E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1E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42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20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1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0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x12</dc:creator>
  <cp:keywords/>
  <dc:description/>
  <cp:lastModifiedBy>x12</cp:lastModifiedBy>
  <cp:revision>4</cp:revision>
  <dcterms:created xsi:type="dcterms:W3CDTF">2017-11-14T10:02:00Z</dcterms:created>
  <dcterms:modified xsi:type="dcterms:W3CDTF">2017-11-14T13:26:00Z</dcterms:modified>
</cp:coreProperties>
</file>