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FC" w:rsidRPr="007123FD" w:rsidRDefault="00F3243A" w:rsidP="007123FD">
      <w:pPr>
        <w:rPr>
          <w:rFonts w:ascii="Times New Roman" w:hAnsi="Times New Roman"/>
          <w:caps/>
          <w:sz w:val="22"/>
          <w:szCs w:val="22"/>
        </w:rPr>
      </w:pPr>
      <w:bookmarkStart w:id="0" w:name="_GoBack"/>
      <w:bookmarkEnd w:id="0"/>
      <w:r w:rsidRPr="007123FD">
        <w:rPr>
          <w:rFonts w:ascii="Times New Roman" w:hAnsi="Times New Roman"/>
          <w:caps/>
          <w:sz w:val="22"/>
          <w:szCs w:val="22"/>
        </w:rPr>
        <w:t>УДК</w:t>
      </w:r>
    </w:p>
    <w:p w:rsidR="00AC69B4" w:rsidRPr="0049426E" w:rsidRDefault="00BF14C7" w:rsidP="007123FD">
      <w:pPr>
        <w:jc w:val="right"/>
        <w:rPr>
          <w:rFonts w:ascii="Times New Roman" w:hAnsi="Times New Roman"/>
          <w:sz w:val="16"/>
          <w:szCs w:val="16"/>
        </w:rPr>
      </w:pPr>
      <w:r w:rsidRPr="0049426E">
        <w:rPr>
          <w:rFonts w:ascii="Times New Roman" w:hAnsi="Times New Roman"/>
          <w:sz w:val="16"/>
          <w:szCs w:val="16"/>
        </w:rPr>
        <w:t xml:space="preserve">С.С. </w:t>
      </w:r>
      <w:proofErr w:type="spellStart"/>
      <w:r w:rsidRPr="0049426E">
        <w:rPr>
          <w:rFonts w:ascii="Times New Roman" w:hAnsi="Times New Roman"/>
          <w:sz w:val="16"/>
          <w:szCs w:val="16"/>
        </w:rPr>
        <w:t>Девликанова</w:t>
      </w:r>
      <w:proofErr w:type="spellEnd"/>
      <w:r w:rsidRPr="0049426E">
        <w:rPr>
          <w:rFonts w:ascii="Times New Roman" w:hAnsi="Times New Roman"/>
          <w:sz w:val="16"/>
          <w:szCs w:val="16"/>
        </w:rPr>
        <w:t xml:space="preserve">, </w:t>
      </w:r>
      <w:r w:rsidR="00374475" w:rsidRPr="0049426E">
        <w:rPr>
          <w:rFonts w:ascii="Times New Roman" w:hAnsi="Times New Roman"/>
          <w:sz w:val="16"/>
          <w:szCs w:val="16"/>
        </w:rPr>
        <w:t>А</w:t>
      </w:r>
      <w:r w:rsidR="00C21C0A" w:rsidRPr="0049426E">
        <w:rPr>
          <w:rFonts w:ascii="Times New Roman" w:hAnsi="Times New Roman"/>
          <w:sz w:val="16"/>
          <w:szCs w:val="16"/>
        </w:rPr>
        <w:t>.</w:t>
      </w:r>
      <w:r w:rsidR="00374475" w:rsidRPr="0049426E">
        <w:rPr>
          <w:rFonts w:ascii="Times New Roman" w:hAnsi="Times New Roman"/>
          <w:sz w:val="16"/>
          <w:szCs w:val="16"/>
        </w:rPr>
        <w:t>В</w:t>
      </w:r>
      <w:r w:rsidR="00C21C0A" w:rsidRPr="0049426E">
        <w:rPr>
          <w:rFonts w:ascii="Times New Roman" w:hAnsi="Times New Roman"/>
          <w:sz w:val="16"/>
          <w:szCs w:val="16"/>
        </w:rPr>
        <w:t xml:space="preserve">. </w:t>
      </w:r>
      <w:r w:rsidR="00374475" w:rsidRPr="0049426E">
        <w:rPr>
          <w:rFonts w:ascii="Times New Roman" w:hAnsi="Times New Roman"/>
          <w:sz w:val="16"/>
          <w:szCs w:val="16"/>
        </w:rPr>
        <w:t xml:space="preserve">Козлов, М.А. Королев, </w:t>
      </w:r>
      <w:r w:rsidR="0049426E" w:rsidRPr="0049426E">
        <w:rPr>
          <w:rFonts w:ascii="Times New Roman" w:hAnsi="Times New Roman"/>
          <w:sz w:val="16"/>
          <w:szCs w:val="16"/>
        </w:rPr>
        <w:t>А.Ю. Красюков,</w:t>
      </w:r>
      <w:r w:rsidR="0049426E">
        <w:rPr>
          <w:rFonts w:ascii="Times New Roman" w:hAnsi="Times New Roman"/>
          <w:sz w:val="16"/>
          <w:szCs w:val="16"/>
        </w:rPr>
        <w:t xml:space="preserve"> </w:t>
      </w:r>
      <w:r w:rsidRPr="0049426E">
        <w:rPr>
          <w:rFonts w:ascii="Times New Roman" w:hAnsi="Times New Roman"/>
          <w:sz w:val="16"/>
          <w:szCs w:val="16"/>
        </w:rPr>
        <w:t>Р.Д. Тихонов</w:t>
      </w:r>
    </w:p>
    <w:p w:rsidR="00AC69B4" w:rsidRPr="007123FD" w:rsidRDefault="00AC69B4" w:rsidP="007123FD">
      <w:pPr>
        <w:jc w:val="right"/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>(</w:t>
      </w:r>
      <w:r w:rsidR="00374475" w:rsidRPr="007123FD">
        <w:rPr>
          <w:rFonts w:ascii="Times New Roman" w:hAnsi="Times New Roman"/>
          <w:sz w:val="22"/>
          <w:szCs w:val="22"/>
        </w:rPr>
        <w:t>Москва</w:t>
      </w:r>
      <w:r w:rsidRPr="007123FD">
        <w:rPr>
          <w:rFonts w:ascii="Times New Roman" w:hAnsi="Times New Roman"/>
          <w:sz w:val="22"/>
          <w:szCs w:val="22"/>
        </w:rPr>
        <w:t xml:space="preserve">, </w:t>
      </w:r>
      <w:r w:rsidR="007123FD">
        <w:rPr>
          <w:rFonts w:ascii="Times New Roman" w:hAnsi="Times New Roman"/>
          <w:sz w:val="22"/>
          <w:szCs w:val="22"/>
        </w:rPr>
        <w:t xml:space="preserve">НИУ </w:t>
      </w:r>
      <w:r w:rsidR="00374475" w:rsidRPr="007123FD">
        <w:rPr>
          <w:rFonts w:ascii="Times New Roman" w:hAnsi="Times New Roman"/>
          <w:sz w:val="22"/>
          <w:szCs w:val="22"/>
        </w:rPr>
        <w:t>МИЭТ</w:t>
      </w:r>
      <w:r w:rsidRPr="007123FD">
        <w:rPr>
          <w:rFonts w:ascii="Times New Roman" w:hAnsi="Times New Roman"/>
          <w:sz w:val="22"/>
          <w:szCs w:val="22"/>
        </w:rPr>
        <w:t>)</w:t>
      </w:r>
    </w:p>
    <w:p w:rsidR="00AC69B4" w:rsidRPr="007123FD" w:rsidRDefault="00AC69B4" w:rsidP="007123FD">
      <w:pPr>
        <w:rPr>
          <w:rFonts w:ascii="Times New Roman" w:hAnsi="Times New Roman"/>
          <w:sz w:val="22"/>
          <w:szCs w:val="22"/>
        </w:rPr>
      </w:pPr>
    </w:p>
    <w:p w:rsidR="00AC69B4" w:rsidRPr="0049426E" w:rsidRDefault="00374475" w:rsidP="007123FD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b/>
          <w:caps/>
          <w:sz w:val="22"/>
          <w:szCs w:val="22"/>
        </w:rPr>
        <w:t>ПРИБОРНО-ТЕХНОЛОГИЧЕСКОЕ МОДЕЛИРОВАНИЕ ИНТЕГРАЛЬНЫХ МАГНИТОЧУВСТВИТЕЛЬНЫХ ЭЛЕМЕНТОВ</w:t>
      </w:r>
    </w:p>
    <w:p w:rsidR="00AC69B4" w:rsidRPr="007123FD" w:rsidRDefault="00F3243A" w:rsidP="007123FD">
      <w:pPr>
        <w:spacing w:before="120"/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 xml:space="preserve">Аннотация: </w:t>
      </w:r>
      <w:r w:rsidR="00374475" w:rsidRPr="007123FD">
        <w:rPr>
          <w:rFonts w:ascii="Times New Roman" w:hAnsi="Times New Roman"/>
          <w:sz w:val="22"/>
          <w:szCs w:val="22"/>
        </w:rPr>
        <w:t xml:space="preserve">В статье описан практический опыт приборно-технологического моделирования в пакете программ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Synopsys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Sentaurus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TCAD</w:t>
      </w:r>
      <w:r w:rsidR="00374475" w:rsidRPr="007123FD">
        <w:rPr>
          <w:rFonts w:ascii="Times New Roman" w:hAnsi="Times New Roman"/>
          <w:sz w:val="22"/>
          <w:szCs w:val="22"/>
        </w:rPr>
        <w:t xml:space="preserve"> интегральных магниточувствительных приборов на примере структур латерального двухколлекторного биполярного магниточувствительного транзистора, магниточувствительного диода и КНИ полевого датчика Холла. Приводятся требования по настройке программной среды, полученные характеристики.</w:t>
      </w:r>
    </w:p>
    <w:p w:rsidR="00F3243A" w:rsidRPr="005D2B0D" w:rsidRDefault="00F3243A" w:rsidP="007123FD">
      <w:pPr>
        <w:rPr>
          <w:rFonts w:ascii="Times New Roman" w:hAnsi="Times New Roman"/>
          <w:sz w:val="22"/>
          <w:szCs w:val="22"/>
          <w:lang w:val="en-US"/>
        </w:rPr>
      </w:pPr>
      <w:r w:rsidRPr="007123FD">
        <w:rPr>
          <w:rFonts w:ascii="Times New Roman" w:hAnsi="Times New Roman"/>
          <w:sz w:val="22"/>
          <w:szCs w:val="22"/>
          <w:lang w:val="en-US"/>
        </w:rPr>
        <w:t>Annotation</w:t>
      </w:r>
      <w:r w:rsidRPr="005D2B0D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The article describes practical experience of instrumentation and process modeling in the software package Synopsys Sentaurus TCAD of integrated </w:t>
      </w:r>
      <w:proofErr w:type="spellStart"/>
      <w:r w:rsidR="005D2B0D" w:rsidRPr="005D2B0D">
        <w:rPr>
          <w:rFonts w:ascii="Times New Roman" w:hAnsi="Times New Roman"/>
          <w:sz w:val="22"/>
          <w:szCs w:val="22"/>
          <w:lang w:val="en-US"/>
        </w:rPr>
        <w:t>magnetosensitive</w:t>
      </w:r>
      <w:proofErr w:type="spell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="005D2B0D" w:rsidRPr="005D2B0D">
        <w:rPr>
          <w:rFonts w:ascii="Times New Roman" w:hAnsi="Times New Roman"/>
          <w:sz w:val="22"/>
          <w:szCs w:val="22"/>
          <w:lang w:val="en-US"/>
        </w:rPr>
        <w:t>devices,</w:t>
      </w:r>
      <w:proofErr w:type="gram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for example, structures lateral </w:t>
      </w:r>
      <w:r w:rsidR="005D2B0D">
        <w:rPr>
          <w:rFonts w:ascii="Times New Roman" w:hAnsi="Times New Roman"/>
          <w:sz w:val="22"/>
          <w:szCs w:val="22"/>
          <w:lang w:val="en-US"/>
        </w:rPr>
        <w:t xml:space="preserve">dual-collector </w:t>
      </w:r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bipolar </w:t>
      </w:r>
      <w:proofErr w:type="spellStart"/>
      <w:r w:rsidR="005D2B0D" w:rsidRPr="005D2B0D">
        <w:rPr>
          <w:rFonts w:ascii="Times New Roman" w:hAnsi="Times New Roman"/>
          <w:sz w:val="22"/>
          <w:szCs w:val="22"/>
          <w:lang w:val="en-US"/>
        </w:rPr>
        <w:t>magnetosensitive</w:t>
      </w:r>
      <w:proofErr w:type="spell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transistor, a </w:t>
      </w:r>
      <w:proofErr w:type="spellStart"/>
      <w:r w:rsidR="005D2B0D" w:rsidRPr="005D2B0D">
        <w:rPr>
          <w:rFonts w:ascii="Times New Roman" w:hAnsi="Times New Roman"/>
          <w:sz w:val="22"/>
          <w:szCs w:val="22"/>
          <w:lang w:val="en-US"/>
        </w:rPr>
        <w:t>magnetosensitive</w:t>
      </w:r>
      <w:proofErr w:type="spellEnd"/>
      <w:r w:rsidR="005D2B0D" w:rsidRPr="005D2B0D">
        <w:rPr>
          <w:rFonts w:ascii="Times New Roman" w:hAnsi="Times New Roman"/>
          <w:sz w:val="22"/>
          <w:szCs w:val="22"/>
          <w:lang w:val="en-US"/>
        </w:rPr>
        <w:t xml:space="preserve"> diode and SOI field Hall sensor. </w:t>
      </w:r>
      <w:proofErr w:type="gramStart"/>
      <w:r w:rsidR="005D2B0D" w:rsidRPr="005D2B0D">
        <w:rPr>
          <w:rFonts w:ascii="Times New Roman" w:hAnsi="Times New Roman"/>
          <w:sz w:val="22"/>
          <w:szCs w:val="22"/>
          <w:lang w:val="en-US"/>
        </w:rPr>
        <w:t>Lists requirements for configuring the software environment, the obtained characteristics.</w:t>
      </w:r>
      <w:proofErr w:type="gramEnd"/>
    </w:p>
    <w:p w:rsidR="00F3243A" w:rsidRPr="007123FD" w:rsidRDefault="00F3243A" w:rsidP="007123FD">
      <w:pPr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 xml:space="preserve">Ключевые слова: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Synopsys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Sentaurus</w:t>
      </w:r>
      <w:r w:rsidR="00374475" w:rsidRPr="007123FD">
        <w:rPr>
          <w:rFonts w:ascii="Times New Roman" w:hAnsi="Times New Roman"/>
          <w:sz w:val="22"/>
          <w:szCs w:val="22"/>
        </w:rPr>
        <w:t xml:space="preserve"> </w:t>
      </w:r>
      <w:r w:rsidR="00374475" w:rsidRPr="007123FD">
        <w:rPr>
          <w:rFonts w:ascii="Times New Roman" w:hAnsi="Times New Roman"/>
          <w:sz w:val="22"/>
          <w:szCs w:val="22"/>
          <w:lang w:val="en-US"/>
        </w:rPr>
        <w:t>TCAD</w:t>
      </w:r>
      <w:r w:rsidR="00374475" w:rsidRPr="007123FD">
        <w:rPr>
          <w:rFonts w:ascii="Times New Roman" w:hAnsi="Times New Roman"/>
          <w:sz w:val="22"/>
          <w:szCs w:val="22"/>
        </w:rPr>
        <w:t xml:space="preserve">, магнитная чувствительность, латеральный двухколлекторный биполярный магниточувствительный транзистор, </w:t>
      </w:r>
      <w:r w:rsidR="002A0A32" w:rsidRPr="007123FD">
        <w:rPr>
          <w:rFonts w:ascii="Times New Roman" w:hAnsi="Times New Roman"/>
          <w:sz w:val="22"/>
          <w:szCs w:val="22"/>
        </w:rPr>
        <w:t>магниточувствительный диод, кремний – на – изоляторе полевой датчик Холла.</w:t>
      </w:r>
    </w:p>
    <w:p w:rsidR="00F3243A" w:rsidRPr="0061538F" w:rsidRDefault="00F3243A" w:rsidP="007123FD">
      <w:pPr>
        <w:rPr>
          <w:rFonts w:ascii="Times New Roman" w:hAnsi="Times New Roman"/>
          <w:sz w:val="22"/>
          <w:szCs w:val="22"/>
          <w:lang w:val="en-US"/>
        </w:rPr>
      </w:pPr>
      <w:r w:rsidRPr="007123FD">
        <w:rPr>
          <w:rFonts w:ascii="Times New Roman" w:hAnsi="Times New Roman"/>
          <w:sz w:val="22"/>
          <w:szCs w:val="22"/>
          <w:lang w:val="en-US"/>
        </w:rPr>
        <w:t>Keywords</w:t>
      </w:r>
      <w:r w:rsidRPr="0061538F">
        <w:rPr>
          <w:rFonts w:ascii="Times New Roman" w:hAnsi="Times New Roman"/>
          <w:sz w:val="22"/>
          <w:szCs w:val="22"/>
          <w:lang w:val="en-US"/>
        </w:rPr>
        <w:t>:</w:t>
      </w:r>
      <w:r w:rsidR="0061538F" w:rsidRPr="006153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1538F" w:rsidRPr="007123FD">
        <w:rPr>
          <w:rFonts w:ascii="Times New Roman" w:hAnsi="Times New Roman"/>
          <w:sz w:val="22"/>
          <w:szCs w:val="22"/>
          <w:lang w:val="en-US"/>
        </w:rPr>
        <w:t>Synopsys</w:t>
      </w:r>
      <w:r w:rsidR="0061538F" w:rsidRPr="006153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1538F" w:rsidRPr="007123FD">
        <w:rPr>
          <w:rFonts w:ascii="Times New Roman" w:hAnsi="Times New Roman"/>
          <w:sz w:val="22"/>
          <w:szCs w:val="22"/>
          <w:lang w:val="en-US"/>
        </w:rPr>
        <w:t>Sentaurus</w:t>
      </w:r>
      <w:r w:rsidR="0061538F" w:rsidRPr="0061538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1538F" w:rsidRPr="007123FD">
        <w:rPr>
          <w:rFonts w:ascii="Times New Roman" w:hAnsi="Times New Roman"/>
          <w:sz w:val="22"/>
          <w:szCs w:val="22"/>
          <w:lang w:val="en-US"/>
        </w:rPr>
        <w:t>TCAD</w:t>
      </w:r>
      <w:r w:rsidR="0061538F">
        <w:rPr>
          <w:rFonts w:ascii="Times New Roman" w:hAnsi="Times New Roman"/>
          <w:sz w:val="22"/>
          <w:szCs w:val="22"/>
          <w:lang w:val="en-US"/>
        </w:rPr>
        <w:t xml:space="preserve">, magnetic sensitivity, lateral dual-collector bipolar </w:t>
      </w:r>
      <w:proofErr w:type="spellStart"/>
      <w:r w:rsidR="0061538F">
        <w:rPr>
          <w:rFonts w:ascii="Times New Roman" w:hAnsi="Times New Roman"/>
          <w:sz w:val="22"/>
          <w:szCs w:val="22"/>
          <w:lang w:val="en-US"/>
        </w:rPr>
        <w:t>magnetosensitivity</w:t>
      </w:r>
      <w:proofErr w:type="spellEnd"/>
      <w:r w:rsidR="0061538F">
        <w:rPr>
          <w:rFonts w:ascii="Times New Roman" w:hAnsi="Times New Roman"/>
          <w:sz w:val="22"/>
          <w:szCs w:val="22"/>
          <w:lang w:val="en-US"/>
        </w:rPr>
        <w:t xml:space="preserve"> transistor, </w:t>
      </w:r>
      <w:proofErr w:type="spellStart"/>
      <w:r w:rsidR="004155E2">
        <w:rPr>
          <w:rFonts w:ascii="Times New Roman" w:hAnsi="Times New Roman"/>
          <w:sz w:val="22"/>
          <w:szCs w:val="22"/>
          <w:lang w:val="en-US"/>
        </w:rPr>
        <w:t>magnetosensitivity</w:t>
      </w:r>
      <w:proofErr w:type="spellEnd"/>
      <w:r w:rsidR="004155E2">
        <w:rPr>
          <w:rFonts w:ascii="Times New Roman" w:hAnsi="Times New Roman"/>
          <w:sz w:val="22"/>
          <w:szCs w:val="22"/>
          <w:lang w:val="en-US"/>
        </w:rPr>
        <w:t xml:space="preserve"> diode, SOI Hall field sensor</w:t>
      </w:r>
    </w:p>
    <w:p w:rsidR="00AC69B4" w:rsidRDefault="007123FD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Сегодня тяжело переоценить применение в повседневной жизни </w:t>
      </w:r>
      <w:r w:rsidR="0049426E">
        <w:rPr>
          <w:rFonts w:ascii="Times New Roman" w:hAnsi="Times New Roman"/>
          <w:sz w:val="22"/>
          <w:szCs w:val="22"/>
        </w:rPr>
        <w:t>различных</w:t>
      </w:r>
      <w:r>
        <w:rPr>
          <w:rFonts w:ascii="Times New Roman" w:hAnsi="Times New Roman"/>
          <w:sz w:val="22"/>
          <w:szCs w:val="22"/>
        </w:rPr>
        <w:t xml:space="preserve"> датчиков физических величин</w:t>
      </w:r>
      <w:r w:rsidRPr="007123FD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датчиков температуры, давления, скорости, ускорения, приближения, удара, наклона</w:t>
      </w:r>
      <w:r w:rsidR="00CA3AEC">
        <w:rPr>
          <w:rFonts w:ascii="Times New Roman" w:hAnsi="Times New Roman"/>
          <w:sz w:val="22"/>
          <w:szCs w:val="22"/>
        </w:rPr>
        <w:t>, влажности</w:t>
      </w:r>
      <w:r>
        <w:rPr>
          <w:rFonts w:ascii="Times New Roman" w:hAnsi="Times New Roman"/>
          <w:sz w:val="22"/>
          <w:szCs w:val="22"/>
        </w:rPr>
        <w:t xml:space="preserve"> и многих других. Они не только помогают человеку комфортно пребывать дома, на работе, в транспорте, на отдыхе, в командировках, но также являются «органами </w:t>
      </w:r>
      <w:r w:rsidR="00CA3AEC">
        <w:rPr>
          <w:rFonts w:ascii="Times New Roman" w:hAnsi="Times New Roman"/>
          <w:sz w:val="22"/>
          <w:szCs w:val="22"/>
        </w:rPr>
        <w:t>чувств</w:t>
      </w:r>
      <w:r>
        <w:rPr>
          <w:rFonts w:ascii="Times New Roman" w:hAnsi="Times New Roman"/>
          <w:sz w:val="22"/>
          <w:szCs w:val="22"/>
        </w:rPr>
        <w:t>»</w:t>
      </w:r>
      <w:r w:rsidR="00CA3AEC">
        <w:rPr>
          <w:rFonts w:ascii="Times New Roman" w:hAnsi="Times New Roman"/>
          <w:sz w:val="22"/>
          <w:szCs w:val="22"/>
        </w:rPr>
        <w:t xml:space="preserve"> роботизированных систем. Именно поэтому </w:t>
      </w:r>
      <w:r w:rsidR="00CA3AEC">
        <w:rPr>
          <w:rFonts w:ascii="Times New Roman" w:hAnsi="Times New Roman"/>
          <w:sz w:val="22"/>
          <w:szCs w:val="22"/>
        </w:rPr>
        <w:lastRenderedPageBreak/>
        <w:t xml:space="preserve">последние 15 лет ученые разных стран </w:t>
      </w:r>
      <w:r w:rsidR="00015FA2">
        <w:rPr>
          <w:rFonts w:ascii="Times New Roman" w:hAnsi="Times New Roman"/>
          <w:sz w:val="22"/>
          <w:szCs w:val="22"/>
        </w:rPr>
        <w:t>м</w:t>
      </w:r>
      <w:r w:rsidR="00CA3AEC">
        <w:rPr>
          <w:rFonts w:ascii="Times New Roman" w:hAnsi="Times New Roman"/>
          <w:sz w:val="22"/>
          <w:szCs w:val="22"/>
        </w:rPr>
        <w:t>ира уделяют большое внимание проектированию и производству таких датчиков.</w:t>
      </w:r>
    </w:p>
    <w:p w:rsidR="00CA3AEC" w:rsidRDefault="00CA3AEC" w:rsidP="007123FD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Важно отметить, что </w:t>
      </w:r>
      <w:r w:rsidR="0061538F">
        <w:rPr>
          <w:rFonts w:ascii="Times New Roman" w:hAnsi="Times New Roman"/>
          <w:sz w:val="22"/>
          <w:szCs w:val="22"/>
        </w:rPr>
        <w:t>большая часть датчиков построена на принципе измерения параметров магнитного поля, в которых чаще всего магнитное поле наводится постоянными магнитами.</w:t>
      </w:r>
    </w:p>
    <w:p w:rsidR="00015FA2" w:rsidRPr="00015FA2" w:rsidRDefault="00015FA2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микроэлектронике есть отдельное направление «</w:t>
      </w:r>
      <w:proofErr w:type="spellStart"/>
      <w:r w:rsidRPr="00A70B1A">
        <w:rPr>
          <w:rFonts w:ascii="Times New Roman" w:hAnsi="Times New Roman"/>
          <w:i/>
          <w:sz w:val="22"/>
          <w:szCs w:val="22"/>
        </w:rPr>
        <w:t>микромагнитоэлектроника</w:t>
      </w:r>
      <w:proofErr w:type="spellEnd"/>
      <w:r>
        <w:rPr>
          <w:rFonts w:ascii="Times New Roman" w:hAnsi="Times New Roman"/>
          <w:sz w:val="22"/>
          <w:szCs w:val="22"/>
        </w:rPr>
        <w:t>», посвященное разработке и произ</w:t>
      </w:r>
      <w:r w:rsidR="00BF14C7">
        <w:rPr>
          <w:rFonts w:ascii="Times New Roman" w:hAnsi="Times New Roman"/>
          <w:sz w:val="22"/>
          <w:szCs w:val="22"/>
        </w:rPr>
        <w:t xml:space="preserve">водству радиоэлектронной аппаратуры на основе дискретных и интегральных датчиков магнитного поля. </w:t>
      </w:r>
      <w:proofErr w:type="gramStart"/>
      <w:r w:rsidR="00BF14C7">
        <w:rPr>
          <w:rFonts w:ascii="Times New Roman" w:hAnsi="Times New Roman"/>
          <w:sz w:val="22"/>
          <w:szCs w:val="22"/>
        </w:rPr>
        <w:t>За три этапа развития указанного направления разработаны и внедрены сотни разновидностей датчиков, обладающие такими достоинствами как малые габариты, низкая потребляемая мощность, широкий динамический диапазон магнитного поля</w:t>
      </w:r>
      <w:r w:rsidR="005A28E9">
        <w:rPr>
          <w:rFonts w:ascii="Times New Roman" w:hAnsi="Times New Roman"/>
          <w:sz w:val="22"/>
          <w:szCs w:val="22"/>
        </w:rPr>
        <w:t>, высокая магнитная чувствительность, высокая разрешающая способность, возможность измерения нескольких направлений магнитного поля одновременно, предварительное преобразование магнитного потока в электрический сигнал и его усиление магниточувствительным элементом и другие.</w:t>
      </w:r>
      <w:proofErr w:type="gramEnd"/>
    </w:p>
    <w:p w:rsidR="00AC69B4" w:rsidRDefault="005A28E9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Большая разновидность датчиков магнитного поля позволяет разработчику аппаратуры выбрать наиболее </w:t>
      </w:r>
      <w:proofErr w:type="gramStart"/>
      <w:r>
        <w:rPr>
          <w:rFonts w:ascii="Times New Roman" w:hAnsi="Times New Roman"/>
          <w:sz w:val="22"/>
          <w:szCs w:val="22"/>
        </w:rPr>
        <w:t>подходящий</w:t>
      </w:r>
      <w:proofErr w:type="gramEnd"/>
      <w:r>
        <w:rPr>
          <w:rFonts w:ascii="Times New Roman" w:hAnsi="Times New Roman"/>
          <w:sz w:val="22"/>
          <w:szCs w:val="22"/>
        </w:rPr>
        <w:t xml:space="preserve"> для его целей. </w:t>
      </w:r>
      <w:r w:rsidR="00974F1D">
        <w:rPr>
          <w:rFonts w:ascii="Times New Roman" w:hAnsi="Times New Roman"/>
          <w:sz w:val="22"/>
          <w:szCs w:val="22"/>
        </w:rPr>
        <w:t xml:space="preserve">Однако на сегодняшний день тяжело найти датчик, который имел бы одновременно все указанные достоинства, а также </w:t>
      </w:r>
      <w:r w:rsidR="0049426E">
        <w:rPr>
          <w:rFonts w:ascii="Times New Roman" w:hAnsi="Times New Roman"/>
          <w:sz w:val="22"/>
          <w:szCs w:val="22"/>
        </w:rPr>
        <w:t>надежно работал</w:t>
      </w:r>
      <w:r w:rsidR="00974F1D">
        <w:rPr>
          <w:rFonts w:ascii="Times New Roman" w:hAnsi="Times New Roman"/>
          <w:sz w:val="22"/>
          <w:szCs w:val="22"/>
        </w:rPr>
        <w:t xml:space="preserve"> </w:t>
      </w:r>
      <w:r w:rsidR="0049426E">
        <w:rPr>
          <w:rFonts w:ascii="Times New Roman" w:hAnsi="Times New Roman"/>
          <w:sz w:val="22"/>
          <w:szCs w:val="22"/>
        </w:rPr>
        <w:t>в широком температурном диапазоне</w:t>
      </w:r>
      <w:r w:rsidR="00A70B1A" w:rsidRPr="00A70B1A">
        <w:rPr>
          <w:rFonts w:ascii="Times New Roman" w:hAnsi="Times New Roman"/>
          <w:sz w:val="22"/>
          <w:szCs w:val="22"/>
        </w:rPr>
        <w:t xml:space="preserve"> </w:t>
      </w:r>
      <w:r w:rsidR="00A70B1A">
        <w:rPr>
          <w:rFonts w:ascii="Times New Roman" w:hAnsi="Times New Roman"/>
          <w:sz w:val="22"/>
          <w:szCs w:val="22"/>
        </w:rPr>
        <w:t>и</w:t>
      </w:r>
      <w:r w:rsidR="0049426E">
        <w:rPr>
          <w:rFonts w:ascii="Times New Roman" w:hAnsi="Times New Roman"/>
          <w:sz w:val="22"/>
          <w:szCs w:val="22"/>
        </w:rPr>
        <w:t xml:space="preserve"> в условиях радиации.</w:t>
      </w:r>
    </w:p>
    <w:p w:rsidR="0049426E" w:rsidRDefault="0049426E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Среди широкой номенклатуры интегральных датчиков магнитного поля по совокупным достоинствам можно выделить структур</w:t>
      </w:r>
      <w:r w:rsidR="001B3B8D">
        <w:rPr>
          <w:rFonts w:ascii="Times New Roman" w:hAnsi="Times New Roman"/>
          <w:sz w:val="22"/>
          <w:szCs w:val="22"/>
        </w:rPr>
        <w:t>ы как</w:t>
      </w:r>
      <w:r>
        <w:rPr>
          <w:rFonts w:ascii="Times New Roman" w:hAnsi="Times New Roman"/>
          <w:sz w:val="22"/>
          <w:szCs w:val="22"/>
        </w:rPr>
        <w:t xml:space="preserve"> </w:t>
      </w:r>
      <w:r w:rsidR="001B3B8D">
        <w:rPr>
          <w:rFonts w:ascii="Times New Roman" w:hAnsi="Times New Roman"/>
          <w:sz w:val="22"/>
          <w:szCs w:val="22"/>
        </w:rPr>
        <w:t xml:space="preserve">кремний – на – изоляторе полевой датчик Холла, латеральный двухколлекторный биполярный транзистор и </w:t>
      </w:r>
      <w:proofErr w:type="spellStart"/>
      <w:r w:rsidR="001B3B8D">
        <w:rPr>
          <w:rFonts w:ascii="Times New Roman" w:hAnsi="Times New Roman"/>
          <w:sz w:val="22"/>
          <w:szCs w:val="22"/>
        </w:rPr>
        <w:t>магнитодиод</w:t>
      </w:r>
      <w:proofErr w:type="spellEnd"/>
      <w:r w:rsidR="001B3B8D">
        <w:rPr>
          <w:rFonts w:ascii="Times New Roman" w:hAnsi="Times New Roman"/>
          <w:sz w:val="22"/>
          <w:szCs w:val="22"/>
        </w:rPr>
        <w:t xml:space="preserve">. Не смотря на то, что указанные приборы принадлежат разным классам, имеют разные принципы работы и технологии изготовления – они востребованы разработчиками. </w:t>
      </w:r>
    </w:p>
    <w:p w:rsidR="001B3B8D" w:rsidRDefault="001B3B8D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КНИ полевой датчик Холла (КНИ ПДХ) в сравнении с классическим датчиком Холла имеет следующие преимущества</w:t>
      </w:r>
      <w:r w:rsidRPr="001B3B8D">
        <w:rPr>
          <w:rFonts w:ascii="Times New Roman" w:hAnsi="Times New Roman"/>
          <w:sz w:val="22"/>
          <w:szCs w:val="22"/>
        </w:rPr>
        <w:t xml:space="preserve">: </w:t>
      </w:r>
    </w:p>
    <w:p w:rsidR="001B3B8D" w:rsidRPr="00EE5580" w:rsidRDefault="001B3B8D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EE5580">
        <w:rPr>
          <w:rFonts w:ascii="Times New Roman" w:hAnsi="Times New Roman"/>
          <w:sz w:val="22"/>
          <w:szCs w:val="22"/>
        </w:rPr>
        <w:t xml:space="preserve">может использоваться </w:t>
      </w:r>
      <w:r w:rsidR="00932827">
        <w:rPr>
          <w:rFonts w:ascii="Times New Roman" w:hAnsi="Times New Roman"/>
          <w:sz w:val="22"/>
          <w:szCs w:val="22"/>
        </w:rPr>
        <w:t xml:space="preserve">как </w:t>
      </w:r>
      <w:r w:rsidR="00EE5580">
        <w:rPr>
          <w:rFonts w:ascii="Times New Roman" w:hAnsi="Times New Roman"/>
          <w:sz w:val="22"/>
          <w:szCs w:val="22"/>
        </w:rPr>
        <w:t>высокотемпературный преобразователь магнитного поля</w:t>
      </w:r>
      <w:r w:rsidR="00EE5580" w:rsidRPr="00EE5580">
        <w:rPr>
          <w:rFonts w:ascii="Times New Roman" w:hAnsi="Times New Roman"/>
          <w:sz w:val="22"/>
          <w:szCs w:val="22"/>
        </w:rPr>
        <w:t>;</w:t>
      </w:r>
    </w:p>
    <w:p w:rsidR="00EE5580" w:rsidRP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имеет высокую устойчивость к воздействию радиации</w:t>
      </w:r>
      <w:r w:rsidRPr="00EE5580">
        <w:rPr>
          <w:rFonts w:ascii="Times New Roman" w:hAnsi="Times New Roman"/>
          <w:sz w:val="22"/>
          <w:szCs w:val="22"/>
        </w:rPr>
        <w:t>;</w:t>
      </w:r>
    </w:p>
    <w:p w:rsidR="00EE5580" w:rsidRP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пороговая магнитная чувствительность может резко возрастать</w:t>
      </w:r>
      <w:r w:rsidRPr="00EE5580">
        <w:rPr>
          <w:rFonts w:ascii="Times New Roman" w:hAnsi="Times New Roman"/>
          <w:sz w:val="22"/>
          <w:szCs w:val="22"/>
        </w:rPr>
        <w:t>;</w:t>
      </w:r>
    </w:p>
    <w:p w:rsidR="00EE5580" w:rsidRP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работает при низком значении рабочего тока</w:t>
      </w:r>
      <w:r w:rsidRPr="00EE5580">
        <w:rPr>
          <w:rFonts w:ascii="Times New Roman" w:hAnsi="Times New Roman"/>
          <w:sz w:val="22"/>
          <w:szCs w:val="22"/>
        </w:rPr>
        <w:t>;</w:t>
      </w:r>
    </w:p>
    <w:p w:rsid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возможна реализация максимальной пороговой чувствительности путем повышения отношения сигнал </w:t>
      </w:r>
      <w:r w:rsidRPr="00EE5580">
        <w:rPr>
          <w:rFonts w:ascii="Times New Roman" w:hAnsi="Times New Roman"/>
          <w:sz w:val="22"/>
          <w:szCs w:val="22"/>
        </w:rPr>
        <w:t xml:space="preserve">/ </w:t>
      </w:r>
      <w:r>
        <w:rPr>
          <w:rFonts w:ascii="Times New Roman" w:hAnsi="Times New Roman"/>
          <w:sz w:val="22"/>
          <w:szCs w:val="22"/>
        </w:rPr>
        <w:t>шум и др.</w:t>
      </w:r>
    </w:p>
    <w:p w:rsidR="00EE5580" w:rsidRDefault="00EE5580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рис.1 приведены </w:t>
      </w:r>
      <w:r w:rsidR="00D60921">
        <w:rPr>
          <w:rFonts w:ascii="Times New Roman" w:hAnsi="Times New Roman"/>
          <w:sz w:val="22"/>
          <w:szCs w:val="22"/>
        </w:rPr>
        <w:t xml:space="preserve">схематичное изображение </w:t>
      </w:r>
      <w:r>
        <w:rPr>
          <w:rFonts w:ascii="Times New Roman" w:hAnsi="Times New Roman"/>
          <w:sz w:val="22"/>
          <w:szCs w:val="22"/>
        </w:rPr>
        <w:t>топологи</w:t>
      </w:r>
      <w:r w:rsidR="00D60921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и </w:t>
      </w:r>
      <w:r w:rsidR="00D60921">
        <w:rPr>
          <w:rFonts w:ascii="Times New Roman" w:hAnsi="Times New Roman"/>
          <w:sz w:val="22"/>
          <w:szCs w:val="22"/>
        </w:rPr>
        <w:t xml:space="preserve">поперечного </w:t>
      </w:r>
      <w:r>
        <w:rPr>
          <w:rFonts w:ascii="Times New Roman" w:hAnsi="Times New Roman"/>
          <w:sz w:val="22"/>
          <w:szCs w:val="22"/>
        </w:rPr>
        <w:t>сечени</w:t>
      </w:r>
      <w:r w:rsidR="00D60921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КНИ ПДХ.</w:t>
      </w:r>
    </w:p>
    <w:p w:rsidR="00EE5580" w:rsidRDefault="00F13A48" w:rsidP="00EE5580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88810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21" w:rsidRDefault="00D60921" w:rsidP="00F13A48">
      <w:pPr>
        <w:ind w:firstLine="0"/>
        <w:jc w:val="center"/>
        <w:rPr>
          <w:rFonts w:ascii="Times New Roman" w:hAnsi="Times New Roman"/>
          <w:sz w:val="20"/>
        </w:rPr>
      </w:pPr>
      <w:proofErr w:type="gramStart"/>
      <w:r w:rsidRPr="00F13A48">
        <w:rPr>
          <w:rFonts w:ascii="Times New Roman" w:hAnsi="Times New Roman"/>
          <w:sz w:val="20"/>
        </w:rPr>
        <w:t xml:space="preserve">Рис. 1 – Схематичное изображение КНИ ПДХ: </w:t>
      </w:r>
      <w:r w:rsidR="00F13A48" w:rsidRPr="00F13A48">
        <w:rPr>
          <w:rFonts w:ascii="Times New Roman" w:hAnsi="Times New Roman"/>
          <w:sz w:val="20"/>
        </w:rPr>
        <w:t>а – топология (1, 2 – токовые электроды; 3, 4 – электроды для измерения ЭДС Холла; 5 – электрод верхнего затвора); б – поперечное сечение (6 – рабочий слой (</w:t>
      </w:r>
      <w:r w:rsidR="00F13A48" w:rsidRPr="00F13A48">
        <w:rPr>
          <w:rFonts w:ascii="Times New Roman" w:hAnsi="Times New Roman"/>
          <w:sz w:val="20"/>
          <w:lang w:val="en-US"/>
        </w:rPr>
        <w:t>n</w:t>
      </w:r>
      <w:r w:rsidR="00F13A48" w:rsidRPr="00F13A48">
        <w:rPr>
          <w:rFonts w:ascii="Times New Roman" w:hAnsi="Times New Roman"/>
          <w:sz w:val="20"/>
        </w:rPr>
        <w:t>-</w:t>
      </w:r>
      <w:r w:rsidR="00F13A48" w:rsidRPr="00F13A48">
        <w:rPr>
          <w:rFonts w:ascii="Times New Roman" w:hAnsi="Times New Roman"/>
          <w:sz w:val="20"/>
          <w:lang w:val="en-US"/>
        </w:rPr>
        <w:t>Si</w:t>
      </w:r>
      <w:r w:rsidR="00F13A48" w:rsidRPr="00F13A48">
        <w:rPr>
          <w:rFonts w:ascii="Times New Roman" w:hAnsi="Times New Roman"/>
          <w:sz w:val="20"/>
        </w:rPr>
        <w:t>); 7 – омические контакты (</w:t>
      </w:r>
      <w:r w:rsidR="00F13A48" w:rsidRPr="00F13A48">
        <w:rPr>
          <w:rFonts w:ascii="Times New Roman" w:hAnsi="Times New Roman"/>
          <w:sz w:val="20"/>
          <w:lang w:val="en-US"/>
        </w:rPr>
        <w:t>n</w:t>
      </w:r>
      <w:r w:rsidR="00F13A48" w:rsidRPr="00F13A48">
        <w:rPr>
          <w:rFonts w:ascii="Times New Roman" w:hAnsi="Times New Roman"/>
          <w:sz w:val="20"/>
        </w:rPr>
        <w:t>+-</w:t>
      </w:r>
      <w:proofErr w:type="spellStart"/>
      <w:r w:rsidR="00F13A48" w:rsidRPr="00F13A48">
        <w:rPr>
          <w:rFonts w:ascii="Times New Roman" w:hAnsi="Times New Roman"/>
          <w:sz w:val="20"/>
          <w:lang w:val="en-US"/>
        </w:rPr>
        <w:t>SiO</w:t>
      </w:r>
      <w:proofErr w:type="spellEnd"/>
      <w:r w:rsidR="00F13A48" w:rsidRPr="00F13A48">
        <w:rPr>
          <w:rFonts w:ascii="Times New Roman" w:hAnsi="Times New Roman"/>
          <w:sz w:val="20"/>
        </w:rPr>
        <w:t>2; 9 – подложка (</w:t>
      </w:r>
      <w:r w:rsidR="00F13A48" w:rsidRPr="00F13A48">
        <w:rPr>
          <w:rFonts w:ascii="Times New Roman" w:hAnsi="Times New Roman"/>
          <w:sz w:val="20"/>
          <w:lang w:val="en-US"/>
        </w:rPr>
        <w:t>n</w:t>
      </w:r>
      <w:r w:rsidR="00F13A48" w:rsidRPr="00F13A48">
        <w:rPr>
          <w:rFonts w:ascii="Times New Roman" w:hAnsi="Times New Roman"/>
          <w:sz w:val="20"/>
        </w:rPr>
        <w:t>-</w:t>
      </w:r>
      <w:r w:rsidR="00F13A48" w:rsidRPr="00F13A48">
        <w:rPr>
          <w:rFonts w:ascii="Times New Roman" w:hAnsi="Times New Roman"/>
          <w:sz w:val="20"/>
          <w:lang w:val="en-US"/>
        </w:rPr>
        <w:t>Si</w:t>
      </w:r>
      <w:r w:rsidR="00F13A48" w:rsidRPr="00F13A48">
        <w:rPr>
          <w:rFonts w:ascii="Times New Roman" w:hAnsi="Times New Roman"/>
          <w:sz w:val="20"/>
        </w:rPr>
        <w:t>); 10 – алюминиевая пленка; 11 – верхний затвор; 12 – нижний затвор)</w:t>
      </w:r>
      <w:proofErr w:type="gramEnd"/>
    </w:p>
    <w:p w:rsidR="006F15AA" w:rsidRDefault="007B3F5E" w:rsidP="007B3F5E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Принцип работы КНИ ПДХ следующий. В качестве начального условия </w:t>
      </w:r>
      <w:r w:rsidR="003B5E98">
        <w:rPr>
          <w:rFonts w:ascii="Times New Roman" w:hAnsi="Times New Roman"/>
          <w:sz w:val="22"/>
          <w:szCs w:val="22"/>
        </w:rPr>
        <w:t>на все четыре электрода (сток, исток, верхний и нижний затворы</w:t>
      </w:r>
      <w:r w:rsidR="006F15AA">
        <w:rPr>
          <w:rFonts w:ascii="Times New Roman" w:hAnsi="Times New Roman"/>
          <w:sz w:val="22"/>
          <w:szCs w:val="22"/>
        </w:rPr>
        <w:t>)</w:t>
      </w:r>
      <w:r w:rsidR="003B5E98">
        <w:rPr>
          <w:rFonts w:ascii="Times New Roman" w:hAnsi="Times New Roman"/>
          <w:sz w:val="22"/>
          <w:szCs w:val="22"/>
        </w:rPr>
        <w:t xml:space="preserve"> подавались нулевые потенциалы. Выбрана схема включения с общим электродом истока. Потенциал электрода стока возрастал до напряжения </w:t>
      </w:r>
      <w:proofErr w:type="gramStart"/>
      <w:r w:rsidR="003B5E98" w:rsidRPr="00932827">
        <w:rPr>
          <w:rFonts w:ascii="Times New Roman" w:hAnsi="Times New Roman"/>
          <w:i/>
          <w:sz w:val="22"/>
          <w:szCs w:val="22"/>
          <w:lang w:val="en-US"/>
        </w:rPr>
        <w:t>U</w:t>
      </w:r>
      <w:proofErr w:type="gramEnd"/>
      <w:r w:rsidR="003B5E98" w:rsidRPr="00932827">
        <w:rPr>
          <w:rFonts w:ascii="Times New Roman" w:hAnsi="Times New Roman"/>
          <w:i/>
          <w:sz w:val="22"/>
          <w:szCs w:val="22"/>
        </w:rPr>
        <w:t>пит</w:t>
      </w:r>
      <w:r w:rsidR="003B5E98">
        <w:rPr>
          <w:rFonts w:ascii="Times New Roman" w:hAnsi="Times New Roman"/>
          <w:sz w:val="22"/>
          <w:szCs w:val="22"/>
        </w:rPr>
        <w:t xml:space="preserve">. При подаче напряжения верхний затвор-исток </w:t>
      </w:r>
      <w:proofErr w:type="gramStart"/>
      <w:r w:rsidR="003B5E98" w:rsidRPr="00932827">
        <w:rPr>
          <w:rFonts w:ascii="Times New Roman" w:hAnsi="Times New Roman"/>
          <w:i/>
          <w:sz w:val="22"/>
          <w:szCs w:val="22"/>
          <w:lang w:val="en-US"/>
        </w:rPr>
        <w:t>U</w:t>
      </w:r>
      <w:proofErr w:type="spellStart"/>
      <w:proofErr w:type="gramEnd"/>
      <w:r w:rsidR="003B5E98" w:rsidRPr="00932827">
        <w:rPr>
          <w:rFonts w:ascii="Times New Roman" w:hAnsi="Times New Roman"/>
          <w:i/>
          <w:sz w:val="22"/>
          <w:szCs w:val="22"/>
        </w:rPr>
        <w:t>зи</w:t>
      </w:r>
      <w:proofErr w:type="spellEnd"/>
      <w:r w:rsidR="003B5E98">
        <w:rPr>
          <w:rFonts w:ascii="Times New Roman" w:hAnsi="Times New Roman"/>
          <w:sz w:val="22"/>
          <w:szCs w:val="22"/>
        </w:rPr>
        <w:t xml:space="preserve"> протека</w:t>
      </w:r>
      <w:r w:rsidR="006F15AA">
        <w:rPr>
          <w:rFonts w:ascii="Times New Roman" w:hAnsi="Times New Roman"/>
          <w:sz w:val="22"/>
          <w:szCs w:val="22"/>
        </w:rPr>
        <w:t>л</w:t>
      </w:r>
      <w:r w:rsidR="003B5E98">
        <w:rPr>
          <w:rFonts w:ascii="Times New Roman" w:hAnsi="Times New Roman"/>
          <w:sz w:val="22"/>
          <w:szCs w:val="22"/>
        </w:rPr>
        <w:t xml:space="preserve"> ток стока. </w:t>
      </w:r>
    </w:p>
    <w:p w:rsidR="007B3F5E" w:rsidRPr="003B5E98" w:rsidRDefault="008E6424" w:rsidP="006F15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отсутствии магнитного поля ток, протекающий между 1 и 2 электродами</w:t>
      </w:r>
      <w:r w:rsidR="006F15AA">
        <w:rPr>
          <w:rFonts w:ascii="Times New Roman" w:hAnsi="Times New Roman"/>
          <w:sz w:val="22"/>
          <w:szCs w:val="22"/>
        </w:rPr>
        <w:t>, обеспечивал равные потенциалы между 3 и 4 электродами</w:t>
      </w:r>
      <w:r w:rsidR="00932827">
        <w:rPr>
          <w:rFonts w:ascii="Times New Roman" w:hAnsi="Times New Roman"/>
          <w:sz w:val="22"/>
          <w:szCs w:val="22"/>
        </w:rPr>
        <w:t>,</w:t>
      </w:r>
      <w:r w:rsidR="006F15AA">
        <w:rPr>
          <w:rFonts w:ascii="Times New Roman" w:hAnsi="Times New Roman"/>
          <w:sz w:val="22"/>
          <w:szCs w:val="22"/>
        </w:rPr>
        <w:t xml:space="preserve"> и дифференциальное напряжение </w:t>
      </w:r>
      <w:r w:rsidR="006F15AA">
        <w:rPr>
          <w:rFonts w:ascii="Times New Roman" w:hAnsi="Times New Roman"/>
          <w:sz w:val="22"/>
          <w:szCs w:val="22"/>
          <w:lang w:val="en-US"/>
        </w:rPr>
        <w:t>U</w:t>
      </w:r>
      <w:r w:rsidR="006F15AA" w:rsidRPr="006F15AA">
        <w:rPr>
          <w:rFonts w:ascii="Times New Roman" w:hAnsi="Times New Roman"/>
          <w:sz w:val="22"/>
          <w:szCs w:val="22"/>
        </w:rPr>
        <w:t xml:space="preserve">3-4 </w:t>
      </w:r>
      <w:r w:rsidR="006F15AA">
        <w:rPr>
          <w:rFonts w:ascii="Times New Roman" w:hAnsi="Times New Roman"/>
          <w:sz w:val="22"/>
          <w:szCs w:val="22"/>
        </w:rPr>
        <w:t>отсутствовало.</w:t>
      </w:r>
      <w:r w:rsidR="006F15AA" w:rsidRPr="006F15AA">
        <w:rPr>
          <w:rFonts w:ascii="Times New Roman" w:hAnsi="Times New Roman"/>
          <w:sz w:val="22"/>
          <w:szCs w:val="22"/>
        </w:rPr>
        <w:t xml:space="preserve"> </w:t>
      </w:r>
      <w:r w:rsidR="006F15AA">
        <w:rPr>
          <w:rFonts w:ascii="Times New Roman" w:hAnsi="Times New Roman"/>
          <w:sz w:val="22"/>
          <w:szCs w:val="22"/>
        </w:rPr>
        <w:t>При приложении м</w:t>
      </w:r>
      <w:r>
        <w:rPr>
          <w:rFonts w:ascii="Times New Roman" w:hAnsi="Times New Roman"/>
          <w:sz w:val="22"/>
          <w:szCs w:val="22"/>
        </w:rPr>
        <w:t>агнитно</w:t>
      </w:r>
      <w:r w:rsidR="006F15AA">
        <w:rPr>
          <w:rFonts w:ascii="Times New Roman" w:hAnsi="Times New Roman"/>
          <w:sz w:val="22"/>
          <w:szCs w:val="22"/>
        </w:rPr>
        <w:t>го</w:t>
      </w:r>
      <w:r>
        <w:rPr>
          <w:rFonts w:ascii="Times New Roman" w:hAnsi="Times New Roman"/>
          <w:sz w:val="22"/>
          <w:szCs w:val="22"/>
        </w:rPr>
        <w:t xml:space="preserve"> пол</w:t>
      </w:r>
      <w:r w:rsidR="006F15AA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, вектор которого направлен ортогонально поверхности кристалла</w:t>
      </w:r>
      <w:r w:rsidR="006F15A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часть носителей заряда в приповерхностной области рабочего слоя</w:t>
      </w:r>
      <w:r w:rsidR="006F15AA">
        <w:rPr>
          <w:rFonts w:ascii="Times New Roman" w:hAnsi="Times New Roman"/>
          <w:sz w:val="22"/>
          <w:szCs w:val="22"/>
        </w:rPr>
        <w:t xml:space="preserve"> перераспределялись</w:t>
      </w:r>
      <w:r>
        <w:rPr>
          <w:rFonts w:ascii="Times New Roman" w:hAnsi="Times New Roman"/>
          <w:sz w:val="22"/>
          <w:szCs w:val="22"/>
        </w:rPr>
        <w:t xml:space="preserve">, </w:t>
      </w:r>
      <w:r w:rsidR="006F15AA">
        <w:rPr>
          <w:rFonts w:ascii="Times New Roman" w:hAnsi="Times New Roman"/>
          <w:sz w:val="22"/>
          <w:szCs w:val="22"/>
        </w:rPr>
        <w:t xml:space="preserve">что </w:t>
      </w:r>
      <w:r>
        <w:rPr>
          <w:rFonts w:ascii="Times New Roman" w:hAnsi="Times New Roman"/>
          <w:sz w:val="22"/>
          <w:szCs w:val="22"/>
        </w:rPr>
        <w:t>привод</w:t>
      </w:r>
      <w:r w:rsidR="006F15AA">
        <w:rPr>
          <w:rFonts w:ascii="Times New Roman" w:hAnsi="Times New Roman"/>
          <w:sz w:val="22"/>
          <w:szCs w:val="22"/>
        </w:rPr>
        <w:t>ило</w:t>
      </w:r>
      <w:r>
        <w:rPr>
          <w:rFonts w:ascii="Times New Roman" w:hAnsi="Times New Roman"/>
          <w:sz w:val="22"/>
          <w:szCs w:val="22"/>
        </w:rPr>
        <w:t xml:space="preserve"> к появлению разности потенциалов между 3 и 4 электродами. </w:t>
      </w:r>
      <w:r w:rsidR="006F15AA">
        <w:rPr>
          <w:rFonts w:ascii="Times New Roman" w:hAnsi="Times New Roman"/>
          <w:sz w:val="22"/>
          <w:szCs w:val="22"/>
        </w:rPr>
        <w:t xml:space="preserve">Это напряжение возрастало по мере увеличения магнитного потока. </w:t>
      </w:r>
      <w:r w:rsidR="003B5E98">
        <w:rPr>
          <w:rFonts w:ascii="Times New Roman" w:hAnsi="Times New Roman"/>
          <w:sz w:val="22"/>
          <w:szCs w:val="22"/>
        </w:rPr>
        <w:t xml:space="preserve">Ранее было </w:t>
      </w:r>
      <w:r w:rsidR="003B5E98">
        <w:rPr>
          <w:rFonts w:ascii="Times New Roman" w:hAnsi="Times New Roman"/>
          <w:sz w:val="22"/>
          <w:szCs w:val="22"/>
        </w:rPr>
        <w:lastRenderedPageBreak/>
        <w:t>показано</w:t>
      </w:r>
      <w:r>
        <w:rPr>
          <w:rFonts w:ascii="Times New Roman" w:hAnsi="Times New Roman"/>
          <w:sz w:val="22"/>
          <w:szCs w:val="22"/>
        </w:rPr>
        <w:t xml:space="preserve"> также</w:t>
      </w:r>
      <w:r w:rsidR="003B5E98">
        <w:rPr>
          <w:rFonts w:ascii="Times New Roman" w:hAnsi="Times New Roman"/>
          <w:sz w:val="22"/>
          <w:szCs w:val="22"/>
        </w:rPr>
        <w:t xml:space="preserve">, что </w:t>
      </w:r>
      <w:r w:rsidR="006F15AA">
        <w:rPr>
          <w:rFonts w:ascii="Times New Roman" w:hAnsi="Times New Roman"/>
          <w:sz w:val="22"/>
          <w:szCs w:val="22"/>
        </w:rPr>
        <w:t xml:space="preserve">ток </w:t>
      </w:r>
      <w:r w:rsidR="003B5E98">
        <w:rPr>
          <w:rFonts w:ascii="Times New Roman" w:hAnsi="Times New Roman"/>
          <w:sz w:val="22"/>
          <w:szCs w:val="22"/>
        </w:rPr>
        <w:t xml:space="preserve">стока растет по мере увеличения концентрации в рабочем слое </w:t>
      </w:r>
      <w:r w:rsidR="003B5E98" w:rsidRPr="003B5E98">
        <w:rPr>
          <w:rFonts w:ascii="Times New Roman" w:hAnsi="Times New Roman"/>
          <w:sz w:val="22"/>
          <w:szCs w:val="22"/>
        </w:rPr>
        <w:t>[</w:t>
      </w:r>
      <w:r w:rsidR="00E216CD">
        <w:rPr>
          <w:rFonts w:ascii="Times New Roman" w:hAnsi="Times New Roman"/>
          <w:sz w:val="22"/>
          <w:szCs w:val="22"/>
        </w:rPr>
        <w:t>1</w:t>
      </w:r>
      <w:r w:rsidR="003B5E98" w:rsidRPr="003B5E98">
        <w:rPr>
          <w:rFonts w:ascii="Times New Roman" w:hAnsi="Times New Roman"/>
          <w:sz w:val="22"/>
          <w:szCs w:val="22"/>
        </w:rPr>
        <w:t>].</w:t>
      </w:r>
    </w:p>
    <w:p w:rsidR="00AC69B4" w:rsidRDefault="008E6424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Структура латерального двухколлекторного биполярного магниточувствительного транзистора (ДКБМТ) представлена на рис.2.</w:t>
      </w:r>
    </w:p>
    <w:p w:rsidR="008E6424" w:rsidRDefault="008E6424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eastAsia="TimesNewRomanPSMT" w:hAnsi="Times New Roman"/>
          <w:noProof/>
          <w:sz w:val="26"/>
          <w:szCs w:val="26"/>
        </w:rPr>
        <w:drawing>
          <wp:inline distT="0" distB="0" distL="0" distR="0" wp14:anchorId="6B86A408" wp14:editId="274FC277">
            <wp:extent cx="3888740" cy="1002231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002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424" w:rsidRPr="00141512" w:rsidRDefault="008E6424" w:rsidP="00141512">
      <w:pPr>
        <w:ind w:firstLine="0"/>
        <w:jc w:val="center"/>
        <w:rPr>
          <w:rFonts w:ascii="Times New Roman" w:hAnsi="Times New Roman"/>
          <w:sz w:val="20"/>
        </w:rPr>
      </w:pPr>
      <w:r w:rsidRPr="00141512">
        <w:rPr>
          <w:rFonts w:ascii="Times New Roman" w:hAnsi="Times New Roman"/>
          <w:sz w:val="20"/>
        </w:rPr>
        <w:t xml:space="preserve">Рис.2 – Структура ДКБМТ, </w:t>
      </w:r>
      <w:proofErr w:type="gramStart"/>
      <w:r w:rsidRPr="00141512">
        <w:rPr>
          <w:rFonts w:ascii="Times New Roman" w:hAnsi="Times New Roman"/>
          <w:sz w:val="20"/>
        </w:rPr>
        <w:t>сформированного</w:t>
      </w:r>
      <w:proofErr w:type="gramEnd"/>
      <w:r w:rsidRPr="00141512">
        <w:rPr>
          <w:rFonts w:ascii="Times New Roman" w:hAnsi="Times New Roman"/>
          <w:sz w:val="20"/>
        </w:rPr>
        <w:t xml:space="preserve"> в диффузионном карм</w:t>
      </w:r>
      <w:r w:rsidR="00932827">
        <w:rPr>
          <w:rFonts w:ascii="Times New Roman" w:hAnsi="Times New Roman"/>
          <w:sz w:val="20"/>
        </w:rPr>
        <w:t>ане</w:t>
      </w:r>
    </w:p>
    <w:p w:rsidR="00141512" w:rsidRDefault="00141512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При включении ДКБМТ в электрическую цепь выбиралась схема включения с общим эмиттером</w:t>
      </w:r>
      <w:r w:rsidRPr="00141512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электрод эмиттера </w:t>
      </w:r>
      <w:r w:rsidRPr="00932827">
        <w:rPr>
          <w:rFonts w:ascii="Times New Roman" w:hAnsi="Times New Roman"/>
          <w:i/>
          <w:sz w:val="22"/>
          <w:szCs w:val="22"/>
          <w:lang w:val="en-US"/>
        </w:rPr>
        <w:t>E</w:t>
      </w:r>
      <w:r w:rsidRPr="00141512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 xml:space="preserve">находился </w:t>
      </w:r>
      <w:r>
        <w:rPr>
          <w:rFonts w:ascii="Times New Roman" w:hAnsi="Times New Roman"/>
          <w:sz w:val="22"/>
          <w:szCs w:val="22"/>
        </w:rPr>
        <w:t xml:space="preserve">на общем потенциале, электроды коллектора разъединены и находились на потенциале </w:t>
      </w:r>
      <w:proofErr w:type="gramStart"/>
      <w:r w:rsidRPr="00932827">
        <w:rPr>
          <w:rFonts w:ascii="Times New Roman" w:hAnsi="Times New Roman"/>
          <w:i/>
          <w:sz w:val="22"/>
          <w:szCs w:val="22"/>
          <w:lang w:val="en-US"/>
        </w:rPr>
        <w:t>U</w:t>
      </w:r>
      <w:proofErr w:type="gramEnd"/>
      <w:r w:rsidRPr="00932827">
        <w:rPr>
          <w:rFonts w:ascii="Times New Roman" w:hAnsi="Times New Roman"/>
          <w:i/>
          <w:sz w:val="22"/>
          <w:szCs w:val="22"/>
        </w:rPr>
        <w:t>пит</w:t>
      </w:r>
      <w:r>
        <w:rPr>
          <w:rFonts w:ascii="Times New Roman" w:hAnsi="Times New Roman"/>
          <w:sz w:val="22"/>
          <w:szCs w:val="22"/>
        </w:rPr>
        <w:t xml:space="preserve">, на </w:t>
      </w:r>
      <w:r w:rsidR="00B27208">
        <w:rPr>
          <w:rFonts w:ascii="Times New Roman" w:hAnsi="Times New Roman"/>
          <w:sz w:val="22"/>
          <w:szCs w:val="22"/>
        </w:rPr>
        <w:t xml:space="preserve">объединенные </w:t>
      </w:r>
      <w:r>
        <w:rPr>
          <w:rFonts w:ascii="Times New Roman" w:hAnsi="Times New Roman"/>
          <w:sz w:val="22"/>
          <w:szCs w:val="22"/>
        </w:rPr>
        <w:t xml:space="preserve">электроды базы </w:t>
      </w:r>
      <w:r w:rsidRPr="00932827">
        <w:rPr>
          <w:rFonts w:ascii="Times New Roman" w:hAnsi="Times New Roman"/>
          <w:i/>
          <w:sz w:val="22"/>
          <w:szCs w:val="22"/>
          <w:lang w:val="en-US"/>
        </w:rPr>
        <w:t>B</w:t>
      </w:r>
      <w:r w:rsidRPr="00932827">
        <w:rPr>
          <w:rFonts w:ascii="Times New Roman" w:hAnsi="Times New Roman"/>
          <w:i/>
          <w:sz w:val="22"/>
          <w:szCs w:val="22"/>
        </w:rPr>
        <w:t>1</w:t>
      </w:r>
      <w:r w:rsidRPr="001415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 </w:t>
      </w:r>
      <w:r w:rsidRPr="00932827">
        <w:rPr>
          <w:rFonts w:ascii="Times New Roman" w:hAnsi="Times New Roman"/>
          <w:i/>
          <w:sz w:val="22"/>
          <w:szCs w:val="22"/>
          <w:lang w:val="en-US"/>
        </w:rPr>
        <w:t>B</w:t>
      </w:r>
      <w:r w:rsidRPr="00932827">
        <w:rPr>
          <w:rFonts w:ascii="Times New Roman" w:hAnsi="Times New Roman"/>
          <w:i/>
          <w:sz w:val="22"/>
          <w:szCs w:val="22"/>
        </w:rPr>
        <w:t>2</w:t>
      </w:r>
      <w:r w:rsidRPr="0014151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подавалось управляющее напряжение эмиттер-база. </w:t>
      </w:r>
      <w:r w:rsidR="00422A5C">
        <w:rPr>
          <w:rFonts w:ascii="Times New Roman" w:hAnsi="Times New Roman"/>
          <w:sz w:val="22"/>
          <w:szCs w:val="22"/>
        </w:rPr>
        <w:t>Коллекторные переходы</w:t>
      </w:r>
      <w:r w:rsidR="001F7A6F">
        <w:rPr>
          <w:rFonts w:ascii="Times New Roman" w:hAnsi="Times New Roman"/>
          <w:sz w:val="22"/>
          <w:szCs w:val="22"/>
        </w:rPr>
        <w:t>, управляемые напряжением коллектор - эмиттер</w:t>
      </w:r>
      <w:r w:rsidR="00422A5C">
        <w:rPr>
          <w:rFonts w:ascii="Times New Roman" w:hAnsi="Times New Roman"/>
          <w:sz w:val="22"/>
          <w:szCs w:val="22"/>
        </w:rPr>
        <w:t xml:space="preserve"> </w:t>
      </w:r>
      <w:r w:rsidR="00422A5C" w:rsidRPr="00422A5C">
        <w:rPr>
          <w:rFonts w:ascii="Times New Roman" w:hAnsi="Times New Roman"/>
          <w:i/>
          <w:sz w:val="22"/>
          <w:szCs w:val="22"/>
          <w:lang w:val="en-US"/>
        </w:rPr>
        <w:t>U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  <w:lang w:val="en-US"/>
        </w:rPr>
        <w:t>C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  <w:lang w:val="en-US"/>
        </w:rPr>
        <w:t>E</w:t>
      </w:r>
      <w:r w:rsidR="00422A5C" w:rsidRPr="00422A5C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 xml:space="preserve">и </w:t>
      </w:r>
      <w:r w:rsidR="00422A5C" w:rsidRPr="00422A5C">
        <w:rPr>
          <w:rFonts w:ascii="Times New Roman" w:hAnsi="Times New Roman"/>
          <w:i/>
          <w:sz w:val="22"/>
          <w:szCs w:val="22"/>
          <w:lang w:val="en-US"/>
        </w:rPr>
        <w:t>U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</w:rPr>
        <w:t>С2</w:t>
      </w:r>
      <w:r w:rsidR="00422A5C" w:rsidRPr="00422A5C">
        <w:rPr>
          <w:rFonts w:ascii="Times New Roman" w:hAnsi="Times New Roman"/>
          <w:i/>
          <w:sz w:val="22"/>
          <w:szCs w:val="22"/>
          <w:vertAlign w:val="subscript"/>
          <w:lang w:val="en-US"/>
        </w:rPr>
        <w:t>E</w:t>
      </w:r>
      <w:r w:rsidR="00422A5C" w:rsidRPr="00422A5C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>смещались в обратном направлении, обеспечивая работу транзистора в нормально-активном режиме. П</w:t>
      </w:r>
      <w:r>
        <w:rPr>
          <w:rFonts w:ascii="Times New Roman" w:hAnsi="Times New Roman"/>
          <w:sz w:val="22"/>
          <w:szCs w:val="22"/>
        </w:rPr>
        <w:t xml:space="preserve">ереход диффузионный </w:t>
      </w:r>
      <w:r w:rsidR="00422A5C">
        <w:rPr>
          <w:rFonts w:ascii="Times New Roman" w:hAnsi="Times New Roman"/>
          <w:sz w:val="22"/>
          <w:szCs w:val="22"/>
        </w:rPr>
        <w:t>карман -</w:t>
      </w:r>
      <w:r>
        <w:rPr>
          <w:rFonts w:ascii="Times New Roman" w:hAnsi="Times New Roman"/>
          <w:sz w:val="22"/>
          <w:szCs w:val="22"/>
        </w:rPr>
        <w:t xml:space="preserve"> подложка </w:t>
      </w:r>
      <w:r w:rsidR="00422A5C">
        <w:rPr>
          <w:rFonts w:ascii="Times New Roman" w:hAnsi="Times New Roman"/>
          <w:sz w:val="22"/>
          <w:szCs w:val="22"/>
        </w:rPr>
        <w:t xml:space="preserve">также </w:t>
      </w:r>
      <w:r>
        <w:rPr>
          <w:rFonts w:ascii="Times New Roman" w:hAnsi="Times New Roman"/>
          <w:sz w:val="22"/>
          <w:szCs w:val="22"/>
        </w:rPr>
        <w:t xml:space="preserve">смещался </w:t>
      </w:r>
      <w:r w:rsidR="00422A5C">
        <w:rPr>
          <w:rFonts w:ascii="Times New Roman" w:hAnsi="Times New Roman"/>
          <w:sz w:val="22"/>
          <w:szCs w:val="22"/>
        </w:rPr>
        <w:t>в обратном направлении</w:t>
      </w:r>
      <w:r>
        <w:rPr>
          <w:rFonts w:ascii="Times New Roman" w:hAnsi="Times New Roman"/>
          <w:sz w:val="22"/>
          <w:szCs w:val="22"/>
        </w:rPr>
        <w:t xml:space="preserve"> для обеспечения электрической изоляции работы транзистора от остальной схемы</w:t>
      </w:r>
      <w:r w:rsidR="00E216CD">
        <w:rPr>
          <w:rFonts w:ascii="Times New Roman" w:hAnsi="Times New Roman"/>
          <w:sz w:val="22"/>
          <w:szCs w:val="22"/>
        </w:rPr>
        <w:t xml:space="preserve"> </w:t>
      </w:r>
      <w:r w:rsidR="00E216CD" w:rsidRPr="00E216CD">
        <w:rPr>
          <w:rFonts w:ascii="Times New Roman" w:hAnsi="Times New Roman"/>
          <w:sz w:val="22"/>
          <w:szCs w:val="22"/>
        </w:rPr>
        <w:t>[2]</w:t>
      </w:r>
      <w:r>
        <w:rPr>
          <w:rFonts w:ascii="Times New Roman" w:hAnsi="Times New Roman"/>
          <w:sz w:val="22"/>
          <w:szCs w:val="22"/>
        </w:rPr>
        <w:t>.</w:t>
      </w:r>
    </w:p>
    <w:p w:rsidR="00B27208" w:rsidRDefault="00B27208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Под действием напряжение база</w:t>
      </w:r>
      <w:r w:rsidR="00422A5C" w:rsidRPr="00422A5C">
        <w:rPr>
          <w:rFonts w:ascii="Times New Roman" w:hAnsi="Times New Roman"/>
          <w:sz w:val="22"/>
          <w:szCs w:val="22"/>
        </w:rPr>
        <w:t>-</w:t>
      </w:r>
      <w:r w:rsidR="00422A5C">
        <w:rPr>
          <w:rFonts w:ascii="Times New Roman" w:hAnsi="Times New Roman"/>
          <w:sz w:val="22"/>
          <w:szCs w:val="22"/>
        </w:rPr>
        <w:t>эмиттер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965D94">
        <w:rPr>
          <w:rFonts w:ascii="Times New Roman" w:hAnsi="Times New Roman"/>
          <w:i/>
          <w:sz w:val="22"/>
          <w:szCs w:val="22"/>
          <w:lang w:val="en-US"/>
        </w:rPr>
        <w:t>U</w:t>
      </w:r>
      <w:r w:rsidR="00422A5C" w:rsidRPr="00965D94">
        <w:rPr>
          <w:rFonts w:ascii="Times New Roman" w:hAnsi="Times New Roman"/>
          <w:i/>
          <w:sz w:val="22"/>
          <w:szCs w:val="22"/>
          <w:vertAlign w:val="subscript"/>
          <w:lang w:val="en-US"/>
        </w:rPr>
        <w:t>BE</w:t>
      </w:r>
      <w:r w:rsidR="00422A5C" w:rsidRPr="00422A5C">
        <w:rPr>
          <w:rFonts w:ascii="Times New Roman" w:hAnsi="Times New Roman"/>
          <w:sz w:val="22"/>
          <w:szCs w:val="22"/>
        </w:rPr>
        <w:t xml:space="preserve"> </w:t>
      </w:r>
      <w:r w:rsidR="00422A5C">
        <w:rPr>
          <w:rFonts w:ascii="Times New Roman" w:hAnsi="Times New Roman"/>
          <w:sz w:val="22"/>
          <w:szCs w:val="22"/>
        </w:rPr>
        <w:t xml:space="preserve">эмиттерный переход инжектировал электроны </w:t>
      </w:r>
      <w:r w:rsidR="008E7F13">
        <w:rPr>
          <w:rFonts w:ascii="Times New Roman" w:hAnsi="Times New Roman"/>
          <w:sz w:val="22"/>
          <w:szCs w:val="22"/>
        </w:rPr>
        <w:t>через базу в два рабочих коллектора. В силу симметрии транзистора при отсутствии магнитного поля ток</w:t>
      </w:r>
      <w:r w:rsidR="0099783F">
        <w:rPr>
          <w:rFonts w:ascii="Times New Roman" w:hAnsi="Times New Roman"/>
          <w:sz w:val="22"/>
          <w:szCs w:val="22"/>
        </w:rPr>
        <w:t>и</w:t>
      </w:r>
      <w:r w:rsidR="008E7F13">
        <w:rPr>
          <w:rFonts w:ascii="Times New Roman" w:hAnsi="Times New Roman"/>
          <w:sz w:val="22"/>
          <w:szCs w:val="22"/>
        </w:rPr>
        <w:t xml:space="preserve"> рабочих коллекторов являлись практически равными, и дифференциальный ток коллектора стремился к нулю.</w:t>
      </w:r>
    </w:p>
    <w:p w:rsidR="008E7F13" w:rsidRPr="005466DA" w:rsidRDefault="008E7F13" w:rsidP="008E642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Под</w:t>
      </w:r>
      <w:r w:rsidR="0099783F">
        <w:rPr>
          <w:rFonts w:ascii="Times New Roman" w:hAnsi="Times New Roman"/>
          <w:sz w:val="22"/>
          <w:szCs w:val="22"/>
        </w:rPr>
        <w:t xml:space="preserve"> действием магнитного поля, вектор которого направлен вдоль электродов от наблюдателя, в левой половине транзистора часть электронов прижималась к поверхности,</w:t>
      </w:r>
      <w:r w:rsidR="005466DA">
        <w:rPr>
          <w:rFonts w:ascii="Times New Roman" w:hAnsi="Times New Roman"/>
          <w:sz w:val="22"/>
          <w:szCs w:val="22"/>
        </w:rPr>
        <w:t xml:space="preserve"> а в правой – наоборот, в объем. Таким образом, ток левого коллектора </w:t>
      </w:r>
      <w:r w:rsidR="005466DA" w:rsidRPr="005466DA">
        <w:rPr>
          <w:rFonts w:ascii="Times New Roman" w:hAnsi="Times New Roman"/>
          <w:i/>
          <w:sz w:val="22"/>
          <w:szCs w:val="22"/>
          <w:lang w:val="en-US"/>
        </w:rPr>
        <w:t>I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  <w:lang w:val="en-US"/>
        </w:rPr>
        <w:t>C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="005466DA" w:rsidRPr="005466DA">
        <w:rPr>
          <w:rFonts w:ascii="Times New Roman" w:hAnsi="Times New Roman"/>
          <w:i/>
          <w:sz w:val="22"/>
          <w:szCs w:val="22"/>
        </w:rPr>
        <w:t xml:space="preserve"> (В)</w:t>
      </w:r>
      <w:r w:rsidR="005466DA" w:rsidRPr="005466DA">
        <w:rPr>
          <w:rFonts w:ascii="Times New Roman" w:hAnsi="Times New Roman"/>
          <w:sz w:val="22"/>
          <w:szCs w:val="22"/>
        </w:rPr>
        <w:t xml:space="preserve"> </w:t>
      </w:r>
      <w:r w:rsidR="005466DA">
        <w:rPr>
          <w:rFonts w:ascii="Times New Roman" w:hAnsi="Times New Roman"/>
          <w:sz w:val="22"/>
          <w:szCs w:val="22"/>
        </w:rPr>
        <w:t xml:space="preserve">возрастал при снижении доли </w:t>
      </w:r>
      <w:proofErr w:type="spellStart"/>
      <w:r w:rsidR="005466DA">
        <w:rPr>
          <w:rFonts w:ascii="Times New Roman" w:hAnsi="Times New Roman"/>
          <w:sz w:val="22"/>
          <w:szCs w:val="22"/>
        </w:rPr>
        <w:lastRenderedPageBreak/>
        <w:t>рекомбинирующих</w:t>
      </w:r>
      <w:proofErr w:type="spellEnd"/>
      <w:r w:rsidR="005466DA">
        <w:rPr>
          <w:rFonts w:ascii="Times New Roman" w:hAnsi="Times New Roman"/>
          <w:sz w:val="22"/>
          <w:szCs w:val="22"/>
        </w:rPr>
        <w:t xml:space="preserve"> в базе носителей заряда, а правого </w:t>
      </w:r>
      <w:r w:rsidR="005466DA" w:rsidRPr="005466DA">
        <w:rPr>
          <w:rFonts w:ascii="Times New Roman" w:hAnsi="Times New Roman"/>
          <w:i/>
          <w:sz w:val="22"/>
          <w:szCs w:val="22"/>
          <w:lang w:val="en-US"/>
        </w:rPr>
        <w:t>I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  <w:lang w:val="en-US"/>
        </w:rPr>
        <w:t>C</w:t>
      </w:r>
      <w:r w:rsidR="005466DA" w:rsidRPr="005466DA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="005466DA" w:rsidRPr="005466DA">
        <w:rPr>
          <w:rFonts w:ascii="Times New Roman" w:hAnsi="Times New Roman"/>
          <w:i/>
          <w:sz w:val="22"/>
          <w:szCs w:val="22"/>
        </w:rPr>
        <w:t xml:space="preserve"> (</w:t>
      </w:r>
      <w:r w:rsidR="005466DA" w:rsidRPr="005466DA">
        <w:rPr>
          <w:rFonts w:ascii="Times New Roman" w:hAnsi="Times New Roman"/>
          <w:i/>
          <w:sz w:val="22"/>
          <w:szCs w:val="22"/>
          <w:lang w:val="en-US"/>
        </w:rPr>
        <w:t>B</w:t>
      </w:r>
      <w:r w:rsidR="005466DA" w:rsidRPr="005466DA">
        <w:rPr>
          <w:rFonts w:ascii="Times New Roman" w:hAnsi="Times New Roman"/>
          <w:i/>
          <w:sz w:val="22"/>
          <w:szCs w:val="22"/>
        </w:rPr>
        <w:t>)</w:t>
      </w:r>
      <w:r w:rsidR="005466DA" w:rsidRPr="005466DA">
        <w:rPr>
          <w:rFonts w:ascii="Times New Roman" w:hAnsi="Times New Roman"/>
          <w:sz w:val="22"/>
          <w:szCs w:val="22"/>
        </w:rPr>
        <w:t xml:space="preserve"> </w:t>
      </w:r>
      <w:r w:rsidR="005466DA">
        <w:rPr>
          <w:rFonts w:ascii="Times New Roman" w:hAnsi="Times New Roman"/>
          <w:sz w:val="22"/>
          <w:szCs w:val="22"/>
        </w:rPr>
        <w:t>– падал при увеличении траекторий потоков электронов.</w:t>
      </w:r>
    </w:p>
    <w:p w:rsidR="00AC69B4" w:rsidRDefault="00820A7F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Магниточувствительный диод представлен на рис.3. </w:t>
      </w:r>
    </w:p>
    <w:p w:rsidR="00820A7F" w:rsidRDefault="00820A7F" w:rsidP="00820A7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2351314" cy="11685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573" cy="116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7F" w:rsidRPr="00820A7F" w:rsidRDefault="00820A7F" w:rsidP="00820A7F">
      <w:pPr>
        <w:jc w:val="center"/>
        <w:rPr>
          <w:rFonts w:ascii="Times New Roman" w:hAnsi="Times New Roman"/>
          <w:sz w:val="20"/>
        </w:rPr>
      </w:pPr>
      <w:r w:rsidRPr="00820A7F">
        <w:rPr>
          <w:rFonts w:ascii="Times New Roman" w:hAnsi="Times New Roman"/>
          <w:sz w:val="20"/>
        </w:rPr>
        <w:t>Рис.3 – Структура магнитодиода</w:t>
      </w:r>
    </w:p>
    <w:p w:rsidR="00820A7F" w:rsidRDefault="00820A7F" w:rsidP="00820A7F">
      <w:pPr>
        <w:spacing w:befor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Принцип работы магнитодиода заключается в отклонении части носителей заряда </w:t>
      </w:r>
      <w:r w:rsidR="001C1545">
        <w:rPr>
          <w:rFonts w:ascii="Times New Roman" w:hAnsi="Times New Roman"/>
          <w:sz w:val="22"/>
          <w:szCs w:val="22"/>
        </w:rPr>
        <w:t xml:space="preserve">под действием магнитного поля </w:t>
      </w:r>
      <w:r>
        <w:rPr>
          <w:rFonts w:ascii="Times New Roman" w:hAnsi="Times New Roman"/>
          <w:sz w:val="22"/>
          <w:szCs w:val="22"/>
        </w:rPr>
        <w:t>к другой поверхности</w:t>
      </w:r>
      <w:r w:rsidR="001C1545">
        <w:rPr>
          <w:rFonts w:ascii="Times New Roman" w:hAnsi="Times New Roman"/>
          <w:sz w:val="22"/>
          <w:szCs w:val="22"/>
        </w:rPr>
        <w:t xml:space="preserve"> прибора</w:t>
      </w:r>
      <w:r>
        <w:rPr>
          <w:rFonts w:ascii="Times New Roman" w:hAnsi="Times New Roman"/>
          <w:sz w:val="22"/>
          <w:szCs w:val="22"/>
        </w:rPr>
        <w:t>, обладающей ин</w:t>
      </w:r>
      <w:r w:rsidR="001C1545">
        <w:rPr>
          <w:rFonts w:ascii="Times New Roman" w:hAnsi="Times New Roman"/>
          <w:sz w:val="22"/>
          <w:szCs w:val="22"/>
        </w:rPr>
        <w:t>ой скоростью поверхностной рекомбинации.</w:t>
      </w:r>
      <w:r>
        <w:rPr>
          <w:rFonts w:ascii="Times New Roman" w:hAnsi="Times New Roman"/>
          <w:sz w:val="22"/>
          <w:szCs w:val="22"/>
        </w:rPr>
        <w:t xml:space="preserve"> </w:t>
      </w:r>
      <w:r w:rsidR="001C1545">
        <w:rPr>
          <w:rFonts w:ascii="Times New Roman" w:hAnsi="Times New Roman"/>
          <w:sz w:val="22"/>
          <w:szCs w:val="22"/>
        </w:rPr>
        <w:t>Чем выше индукция магнитного поля, тем больше носителей заряда отклон</w:t>
      </w:r>
      <w:r w:rsidR="00965D94">
        <w:rPr>
          <w:rFonts w:ascii="Times New Roman" w:hAnsi="Times New Roman"/>
          <w:sz w:val="22"/>
          <w:szCs w:val="22"/>
        </w:rPr>
        <w:t>ялось</w:t>
      </w:r>
      <w:r w:rsidR="001C1545">
        <w:rPr>
          <w:rFonts w:ascii="Times New Roman" w:hAnsi="Times New Roman"/>
          <w:sz w:val="22"/>
          <w:szCs w:val="22"/>
        </w:rPr>
        <w:t xml:space="preserve"> к другой грани полупроводника.</w:t>
      </w:r>
      <w:r w:rsidR="00965D94">
        <w:rPr>
          <w:rFonts w:ascii="Times New Roman" w:hAnsi="Times New Roman"/>
          <w:sz w:val="22"/>
          <w:szCs w:val="22"/>
        </w:rPr>
        <w:t xml:space="preserve"> Из-за разных скоростей поверхностной рекомбинации </w:t>
      </w:r>
      <w:r w:rsidR="00802CF3">
        <w:rPr>
          <w:rFonts w:ascii="Times New Roman" w:hAnsi="Times New Roman"/>
          <w:sz w:val="22"/>
          <w:szCs w:val="22"/>
        </w:rPr>
        <w:t xml:space="preserve">на двух гранях полупроводника </w:t>
      </w:r>
      <w:r w:rsidR="00965D94">
        <w:rPr>
          <w:rFonts w:ascii="Times New Roman" w:hAnsi="Times New Roman"/>
          <w:sz w:val="22"/>
          <w:szCs w:val="22"/>
        </w:rPr>
        <w:t xml:space="preserve">ток </w:t>
      </w:r>
      <w:r w:rsidR="00802CF3">
        <w:rPr>
          <w:rFonts w:ascii="Times New Roman" w:hAnsi="Times New Roman"/>
          <w:sz w:val="22"/>
          <w:szCs w:val="22"/>
        </w:rPr>
        <w:t>диода зависит от направления и величины индукции магнитного поля.</w:t>
      </w:r>
    </w:p>
    <w:p w:rsidR="001C1545" w:rsidRDefault="001C1545" w:rsidP="001C1545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1C1545">
        <w:rPr>
          <w:rFonts w:ascii="Times New Roman" w:hAnsi="Times New Roman"/>
          <w:sz w:val="22"/>
          <w:szCs w:val="22"/>
        </w:rPr>
        <w:t xml:space="preserve">Приборно-технологическое моделирование указанных </w:t>
      </w:r>
      <w:r w:rsidR="00CF66F5">
        <w:rPr>
          <w:rFonts w:ascii="Times New Roman" w:hAnsi="Times New Roman"/>
          <w:sz w:val="22"/>
          <w:szCs w:val="22"/>
        </w:rPr>
        <w:t>магниточувствительных структур</w:t>
      </w:r>
      <w:r w:rsidRPr="001C1545">
        <w:rPr>
          <w:rFonts w:ascii="Times New Roman" w:hAnsi="Times New Roman"/>
          <w:sz w:val="22"/>
          <w:szCs w:val="22"/>
        </w:rPr>
        <w:t xml:space="preserve"> проводилось в пакете программ </w:t>
      </w:r>
      <w:r w:rsidRPr="00D033B0">
        <w:rPr>
          <w:rFonts w:ascii="Times New Roman" w:hAnsi="Times New Roman"/>
          <w:i/>
          <w:sz w:val="22"/>
          <w:szCs w:val="22"/>
          <w:lang w:val="en-US"/>
        </w:rPr>
        <w:t>Synopsys</w:t>
      </w:r>
      <w:r w:rsidRPr="00D033B0">
        <w:rPr>
          <w:rFonts w:ascii="Times New Roman" w:hAnsi="Times New Roman"/>
          <w:i/>
          <w:sz w:val="22"/>
          <w:szCs w:val="22"/>
        </w:rPr>
        <w:t xml:space="preserve"> </w:t>
      </w:r>
      <w:r w:rsidRPr="00D033B0">
        <w:rPr>
          <w:rFonts w:ascii="Times New Roman" w:hAnsi="Times New Roman"/>
          <w:i/>
          <w:sz w:val="22"/>
          <w:szCs w:val="22"/>
          <w:lang w:val="en-US"/>
        </w:rPr>
        <w:t>Sentaurus</w:t>
      </w:r>
      <w:r w:rsidRPr="00D033B0">
        <w:rPr>
          <w:rFonts w:ascii="Times New Roman" w:hAnsi="Times New Roman"/>
          <w:i/>
          <w:sz w:val="22"/>
          <w:szCs w:val="22"/>
        </w:rPr>
        <w:t xml:space="preserve"> </w:t>
      </w:r>
      <w:r w:rsidRPr="00D033B0">
        <w:rPr>
          <w:rFonts w:ascii="Times New Roman" w:hAnsi="Times New Roman"/>
          <w:i/>
          <w:sz w:val="22"/>
          <w:szCs w:val="22"/>
          <w:lang w:val="en-US"/>
        </w:rPr>
        <w:t>TCAD</w:t>
      </w:r>
      <w:r w:rsidRPr="001C1545">
        <w:rPr>
          <w:rFonts w:ascii="Times New Roman" w:hAnsi="Times New Roman"/>
          <w:sz w:val="22"/>
          <w:szCs w:val="22"/>
        </w:rPr>
        <w:t xml:space="preserve">.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При моделировании </w:t>
      </w:r>
      <w:r w:rsidR="00D033B0">
        <w:rPr>
          <w:rFonts w:ascii="Times New Roman" w:eastAsia="TimesNewRomanPSMT" w:hAnsi="Times New Roman"/>
          <w:sz w:val="22"/>
          <w:szCs w:val="22"/>
        </w:rPr>
        <w:t>приборов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>применялось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диффузионно-дрейфов</w:t>
      </w:r>
      <w:r>
        <w:rPr>
          <w:rFonts w:ascii="Times New Roman" w:eastAsia="TimesNewRomanPSMT" w:hAnsi="Times New Roman"/>
          <w:sz w:val="22"/>
          <w:szCs w:val="22"/>
        </w:rPr>
        <w:t>ое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приближение.</w:t>
      </w:r>
    </w:p>
    <w:p w:rsidR="001C1545" w:rsidRPr="001C1545" w:rsidRDefault="001C1545" w:rsidP="001C1545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1C1545">
        <w:rPr>
          <w:rFonts w:ascii="Times New Roman" w:eastAsia="TimesNewRomanPSMT" w:hAnsi="Times New Roman"/>
          <w:sz w:val="22"/>
          <w:szCs w:val="22"/>
        </w:rPr>
        <w:t>Расчет электрических характеристик структур</w:t>
      </w:r>
      <w:r>
        <w:rPr>
          <w:rFonts w:ascii="Times New Roman" w:eastAsia="TimesNewRomanPSMT" w:hAnsi="Times New Roman"/>
          <w:sz w:val="22"/>
          <w:szCs w:val="22"/>
        </w:rPr>
        <w:t xml:space="preserve"> осуществлялся с помощью </w:t>
      </w:r>
      <w:r w:rsidRPr="001C1545">
        <w:rPr>
          <w:rFonts w:ascii="Times New Roman" w:eastAsia="TimesNewRomanPSMT" w:hAnsi="Times New Roman"/>
          <w:sz w:val="22"/>
          <w:szCs w:val="22"/>
        </w:rPr>
        <w:t>решения уравнения Пуассона, уравнений для плотностей токов носителей обоих знаков совместно с уравнениями непрерывности, что для стационарного случая и слабого магнитного поля (</w:t>
      </w:r>
      <w:proofErr w:type="spellStart"/>
      <w:r w:rsidRPr="001C1545">
        <w:rPr>
          <w:rFonts w:ascii="Times New Roman" w:eastAsia="TimesNewRomanPSMT" w:hAnsi="Times New Roman"/>
          <w:sz w:val="22"/>
          <w:szCs w:val="22"/>
        </w:rPr>
        <w:t>μ</w:t>
      </w:r>
      <w:r w:rsidRPr="001C1545">
        <w:rPr>
          <w:rFonts w:ascii="Times New Roman" w:eastAsia="TimesNewRomanPSMT" w:hAnsi="Times New Roman"/>
          <w:sz w:val="22"/>
          <w:szCs w:val="22"/>
          <w:vertAlign w:val="subscript"/>
        </w:rPr>
        <w:t>p</w:t>
      </w:r>
      <w:proofErr w:type="spellEnd"/>
      <w:r w:rsidRPr="001C1545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1C1545">
        <w:rPr>
          <w:rFonts w:ascii="Times New Roman" w:eastAsia="TimesNewRomanPSMT" w:hAnsi="Times New Roman"/>
          <w:sz w:val="22"/>
          <w:szCs w:val="22"/>
        </w:rPr>
        <w:t>μ</w:t>
      </w:r>
      <w:r w:rsidRPr="001C1545">
        <w:rPr>
          <w:rFonts w:ascii="Times New Roman" w:eastAsia="TimesNewRomanPSMT" w:hAnsi="Times New Roman"/>
          <w:sz w:val="22"/>
          <w:szCs w:val="22"/>
          <w:vertAlign w:val="subscript"/>
        </w:rPr>
        <w:t>n</w:t>
      </w:r>
      <w:proofErr w:type="spellEnd"/>
      <w:r w:rsidRPr="001C1545">
        <w:rPr>
          <w:rFonts w:ascii="Times New Roman" w:eastAsia="TimesNewRomanPSMT" w:hAnsi="Times New Roman"/>
          <w:sz w:val="22"/>
          <w:szCs w:val="22"/>
        </w:rPr>
        <w:t xml:space="preserve"> &lt;&lt; B</w:t>
      </w:r>
      <w:r w:rsidRPr="001C1545">
        <w:rPr>
          <w:rFonts w:ascii="Times New Roman" w:eastAsia="TimesNewRomanPSMT" w:hAnsi="Times New Roman"/>
          <w:sz w:val="22"/>
          <w:szCs w:val="22"/>
          <w:vertAlign w:val="superscript"/>
        </w:rPr>
        <w:t>-1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) может быть записано в виде: </w:t>
      </w:r>
    </w:p>
    <w:p w:rsidR="001C1545" w:rsidRPr="001C1545" w:rsidRDefault="001C1545" w:rsidP="001C1545">
      <w:pPr>
        <w:jc w:val="right"/>
        <w:rPr>
          <w:rFonts w:ascii="Times New Roman" w:eastAsia="TimesNewRomanPSMT" w:hAnsi="Times New Roman"/>
          <w:sz w:val="22"/>
          <w:szCs w:val="22"/>
        </w:rPr>
      </w:pPr>
      <w:r w:rsidRPr="001C1545">
        <w:rPr>
          <w:position w:val="-32"/>
          <w:sz w:val="22"/>
          <w:szCs w:val="22"/>
        </w:rPr>
        <w:object w:dxaOrig="6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75pt;height:23.4pt" o:ole="">
            <v:imagedata r:id="rId12" o:title=""/>
          </v:shape>
          <o:OLEObject Type="Embed" ProgID="Equation.3" ShapeID="_x0000_i1025" DrawAspect="Content" ObjectID="_1572013001" r:id="rId13"/>
        </w:objec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ab/>
      </w:r>
      <w:r w:rsidRPr="001C1545">
        <w:rPr>
          <w:rFonts w:ascii="Times New Roman" w:eastAsia="TimesNewRomanPSMT" w:hAnsi="Times New Roman"/>
          <w:sz w:val="22"/>
          <w:szCs w:val="22"/>
        </w:rPr>
        <w:tab/>
        <w:t>(1)</w:t>
      </w:r>
    </w:p>
    <w:p w:rsidR="001C1545" w:rsidRPr="001C1545" w:rsidRDefault="001C1545" w:rsidP="001C1545">
      <w:pPr>
        <w:jc w:val="right"/>
        <w:rPr>
          <w:rFonts w:ascii="Times New Roman" w:eastAsia="TimesNewRomanPSMT" w:hAnsi="Times New Roman"/>
          <w:sz w:val="22"/>
          <w:szCs w:val="22"/>
        </w:rPr>
      </w:pPr>
      <w:r w:rsidRPr="001C1545">
        <w:rPr>
          <w:position w:val="-34"/>
          <w:sz w:val="22"/>
          <w:szCs w:val="22"/>
        </w:rPr>
        <w:object w:dxaOrig="6440" w:dyaOrig="720">
          <v:shape id="_x0000_i1026" type="#_x0000_t75" style="width:219.75pt;height:24.8pt" o:ole="">
            <v:imagedata r:id="rId14" o:title=""/>
          </v:shape>
          <o:OLEObject Type="Embed" ProgID="Equation.3" ShapeID="_x0000_i1026" DrawAspect="Content" ObjectID="_1572013002" r:id="rId15"/>
        </w:objec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ab/>
      </w:r>
      <w:r w:rsidRPr="001C1545">
        <w:rPr>
          <w:rFonts w:ascii="Times New Roman" w:eastAsia="TimesNewRomanPSMT" w:hAnsi="Times New Roman"/>
          <w:sz w:val="22"/>
          <w:szCs w:val="22"/>
        </w:rPr>
        <w:tab/>
        <w:t>(</w:t>
      </w:r>
      <w:r>
        <w:rPr>
          <w:rFonts w:ascii="Times New Roman" w:eastAsia="TimesNewRomanPSMT" w:hAnsi="Times New Roman"/>
          <w:sz w:val="22"/>
          <w:szCs w:val="22"/>
        </w:rPr>
        <w:t>2</w:t>
      </w:r>
      <w:r w:rsidRPr="001C1545">
        <w:rPr>
          <w:rFonts w:ascii="Times New Roman" w:eastAsia="TimesNewRomanPSMT" w:hAnsi="Times New Roman"/>
          <w:sz w:val="22"/>
          <w:szCs w:val="22"/>
        </w:rPr>
        <w:t>)</w:t>
      </w:r>
    </w:p>
    <w:p w:rsidR="001C1545" w:rsidRPr="001C1545" w:rsidRDefault="001C1545" w:rsidP="001C1545">
      <w:pPr>
        <w:jc w:val="right"/>
        <w:rPr>
          <w:rFonts w:ascii="Times New Roman" w:eastAsia="TimesNewRomanPSMT" w:hAnsi="Times New Roman"/>
          <w:sz w:val="22"/>
          <w:szCs w:val="22"/>
        </w:rPr>
      </w:pPr>
      <w:r w:rsidRPr="001C1545">
        <w:rPr>
          <w:position w:val="-30"/>
          <w:sz w:val="22"/>
          <w:szCs w:val="22"/>
        </w:rPr>
        <w:object w:dxaOrig="2600" w:dyaOrig="680">
          <v:shape id="_x0000_i1027" type="#_x0000_t75" style="width:90.7pt;height:23.85pt" o:ole="">
            <v:imagedata r:id="rId16" o:title=""/>
          </v:shape>
          <o:OLEObject Type="Embed" ProgID="Equation.3" ShapeID="_x0000_i1027" DrawAspect="Content" ObjectID="_1572013003" r:id="rId17"/>
        </w:object>
      </w:r>
      <w:r w:rsidRPr="001C1545">
        <w:rPr>
          <w:rFonts w:ascii="Times New Roman" w:eastAsia="TimesNewRomanPSMT" w:hAnsi="Times New Roman"/>
          <w:sz w:val="22"/>
          <w:szCs w:val="22"/>
        </w:rPr>
        <w:tab/>
      </w:r>
      <w:r>
        <w:rPr>
          <w:rFonts w:ascii="Times New Roman" w:eastAsia="TimesNewRomanPSMT" w:hAnsi="Times New Roman"/>
          <w:sz w:val="22"/>
          <w:szCs w:val="22"/>
        </w:rPr>
        <w:tab/>
      </w:r>
      <w:r w:rsidRPr="001C1545">
        <w:rPr>
          <w:rFonts w:ascii="Times New Roman" w:eastAsia="TimesNewRomanPSMT" w:hAnsi="Times New Roman"/>
          <w:sz w:val="22"/>
          <w:szCs w:val="22"/>
        </w:rPr>
        <w:tab/>
        <w:t>(</w:t>
      </w:r>
      <w:r>
        <w:rPr>
          <w:rFonts w:ascii="Times New Roman" w:eastAsia="TimesNewRomanPSMT" w:hAnsi="Times New Roman"/>
          <w:sz w:val="22"/>
          <w:szCs w:val="22"/>
        </w:rPr>
        <w:t>3</w:t>
      </w:r>
      <w:r w:rsidRPr="001C1545">
        <w:rPr>
          <w:rFonts w:ascii="Times New Roman" w:eastAsia="TimesNewRomanPSMT" w:hAnsi="Times New Roman"/>
          <w:sz w:val="22"/>
          <w:szCs w:val="22"/>
        </w:rPr>
        <w:t>)</w:t>
      </w:r>
    </w:p>
    <w:p w:rsidR="001C1545" w:rsidRPr="001C1545" w:rsidRDefault="001C1545" w:rsidP="001C1545">
      <w:pPr>
        <w:ind w:firstLine="0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lastRenderedPageBreak/>
        <w:t xml:space="preserve">При моделировании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технологического маршрута </w:t>
      </w:r>
      <w:r>
        <w:rPr>
          <w:rFonts w:ascii="Times New Roman" w:eastAsia="TimesNewRomanPSMT" w:hAnsi="Times New Roman"/>
          <w:sz w:val="22"/>
          <w:szCs w:val="22"/>
        </w:rPr>
        <w:t>и</w:t>
      </w:r>
      <w:r w:rsidRPr="001C1545">
        <w:rPr>
          <w:rFonts w:ascii="Times New Roman" w:eastAsia="TimesNewRomanPSMT" w:hAnsi="Times New Roman"/>
          <w:sz w:val="22"/>
          <w:szCs w:val="22"/>
        </w:rPr>
        <w:t>/или задан</w:t>
      </w:r>
      <w:r>
        <w:rPr>
          <w:rFonts w:ascii="Times New Roman" w:eastAsia="TimesNewRomanPSMT" w:hAnsi="Times New Roman"/>
          <w:sz w:val="22"/>
          <w:szCs w:val="22"/>
        </w:rPr>
        <w:t>ия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 xml:space="preserve">профиля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аналитическим способом </w:t>
      </w:r>
      <w:r>
        <w:rPr>
          <w:rFonts w:ascii="Times New Roman" w:eastAsia="TimesNewRomanPSMT" w:hAnsi="Times New Roman"/>
          <w:sz w:val="22"/>
          <w:szCs w:val="22"/>
        </w:rPr>
        <w:t xml:space="preserve">были </w:t>
      </w:r>
      <w:r w:rsidRPr="001C1545">
        <w:rPr>
          <w:rFonts w:ascii="Times New Roman" w:eastAsia="TimesNewRomanPSMT" w:hAnsi="Times New Roman"/>
          <w:sz w:val="22"/>
          <w:szCs w:val="22"/>
        </w:rPr>
        <w:t>указ</w:t>
      </w:r>
      <w:r>
        <w:rPr>
          <w:rFonts w:ascii="Times New Roman" w:eastAsia="TimesNewRomanPSMT" w:hAnsi="Times New Roman"/>
          <w:sz w:val="22"/>
          <w:szCs w:val="22"/>
        </w:rPr>
        <w:t>а</w:t>
      </w:r>
      <w:r w:rsidRPr="001C1545">
        <w:rPr>
          <w:rFonts w:ascii="Times New Roman" w:eastAsia="TimesNewRomanPSMT" w:hAnsi="Times New Roman"/>
          <w:sz w:val="22"/>
          <w:szCs w:val="22"/>
        </w:rPr>
        <w:t>н</w:t>
      </w:r>
      <w:r>
        <w:rPr>
          <w:rFonts w:ascii="Times New Roman" w:eastAsia="TimesNewRomanPSMT" w:hAnsi="Times New Roman"/>
          <w:sz w:val="22"/>
          <w:szCs w:val="22"/>
        </w:rPr>
        <w:t>ы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параметр</w:t>
      </w:r>
      <w:r>
        <w:rPr>
          <w:rFonts w:ascii="Times New Roman" w:eastAsia="TimesNewRomanPSMT" w:hAnsi="Times New Roman"/>
          <w:sz w:val="22"/>
          <w:szCs w:val="22"/>
        </w:rPr>
        <w:t>ы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подложки, </w:t>
      </w:r>
      <w:r w:rsidR="00EE032B">
        <w:rPr>
          <w:rFonts w:ascii="Times New Roman" w:eastAsia="TimesNewRomanPSMT" w:hAnsi="Times New Roman"/>
          <w:sz w:val="22"/>
          <w:szCs w:val="22"/>
        </w:rPr>
        <w:t xml:space="preserve">легирующих </w:t>
      </w:r>
      <w:r w:rsidRPr="001C1545">
        <w:rPr>
          <w:rFonts w:ascii="Times New Roman" w:eastAsia="TimesNewRomanPSMT" w:hAnsi="Times New Roman"/>
          <w:sz w:val="22"/>
          <w:szCs w:val="22"/>
        </w:rPr>
        <w:t>слоев и распределения примеси</w:t>
      </w:r>
      <w:r w:rsidR="00EE032B">
        <w:rPr>
          <w:rFonts w:ascii="Times New Roman" w:eastAsia="TimesNewRomanPSMT" w:hAnsi="Times New Roman"/>
          <w:sz w:val="22"/>
          <w:szCs w:val="22"/>
        </w:rPr>
        <w:t>.</w:t>
      </w:r>
    </w:p>
    <w:p w:rsidR="001C1545" w:rsidRPr="001C1545" w:rsidRDefault="001C1545" w:rsidP="001C1545">
      <w:pPr>
        <w:rPr>
          <w:rFonts w:ascii="Times New Roman" w:eastAsia="TimesNewRomanPSMT" w:hAnsi="Times New Roman"/>
          <w:sz w:val="22"/>
          <w:szCs w:val="22"/>
        </w:rPr>
      </w:pPr>
      <w:r w:rsidRPr="001C1545">
        <w:rPr>
          <w:rFonts w:ascii="Times New Roman" w:eastAsia="TimesNewRomanPSMT" w:hAnsi="Times New Roman"/>
          <w:sz w:val="22"/>
          <w:szCs w:val="22"/>
        </w:rPr>
        <w:t xml:space="preserve">Эффективным способом исследования работы </w:t>
      </w:r>
      <w:r w:rsidR="00EE032B">
        <w:rPr>
          <w:rFonts w:ascii="Times New Roman" w:eastAsia="TimesNewRomanPSMT" w:hAnsi="Times New Roman"/>
          <w:sz w:val="22"/>
          <w:szCs w:val="22"/>
        </w:rPr>
        <w:t>указанных приборов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яв</w:t>
      </w:r>
      <w:r w:rsidR="00EE032B">
        <w:rPr>
          <w:rFonts w:ascii="Times New Roman" w:eastAsia="TimesNewRomanPSMT" w:hAnsi="Times New Roman"/>
          <w:sz w:val="22"/>
          <w:szCs w:val="22"/>
        </w:rPr>
        <w:t>илось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сравнение двумерных распределений расчетных величин (концентраций электронов и дырок, плотностей электронного и дырочного токов, электрического поля, плотности объемного заряда и т.д.) в магнитном поле и при его отсутствии, т.е. построение разностных распределений. Методика получения разностных распределений путем обработки выходных данных результатов моделирования состоит в вычитании массивов дискретных значений выбранного параметра на основе привязки к узлам сетки конечных элементов.</w:t>
      </w:r>
    </w:p>
    <w:p w:rsidR="001C1545" w:rsidRPr="00E216CD" w:rsidRDefault="001C1545" w:rsidP="001C1545">
      <w:pPr>
        <w:rPr>
          <w:rFonts w:ascii="Times New Roman" w:hAnsi="Times New Roman"/>
          <w:sz w:val="22"/>
          <w:szCs w:val="22"/>
        </w:rPr>
      </w:pPr>
      <w:r w:rsidRPr="001C1545">
        <w:rPr>
          <w:rFonts w:ascii="Times New Roman" w:eastAsia="TimesNewRomanPSMT" w:hAnsi="Times New Roman"/>
          <w:sz w:val="22"/>
          <w:szCs w:val="22"/>
        </w:rPr>
        <w:t xml:space="preserve">С целью обеспечения адекватности использования средств </w:t>
      </w:r>
      <w:r w:rsidRPr="001C1545">
        <w:rPr>
          <w:rFonts w:ascii="Times New Roman" w:eastAsia="TimesNewRomanPSMT" w:hAnsi="Times New Roman"/>
          <w:i/>
          <w:iCs/>
          <w:sz w:val="22"/>
          <w:szCs w:val="22"/>
          <w:lang w:val="en-US"/>
        </w:rPr>
        <w:t>Synopsys</w:t>
      </w:r>
      <w:r w:rsidRPr="001C1545">
        <w:rPr>
          <w:rFonts w:ascii="Times New Roman" w:eastAsia="TimesNewRomanPSMT" w:hAnsi="Times New Roman"/>
          <w:i/>
          <w:iCs/>
          <w:sz w:val="22"/>
          <w:szCs w:val="22"/>
        </w:rPr>
        <w:t xml:space="preserve"> </w:t>
      </w:r>
      <w:r w:rsidRPr="001C1545">
        <w:rPr>
          <w:rFonts w:ascii="Times New Roman" w:eastAsia="TimesNewRomanPSMT" w:hAnsi="Times New Roman"/>
          <w:i/>
          <w:iCs/>
          <w:sz w:val="22"/>
          <w:szCs w:val="22"/>
          <w:lang w:val="en-US"/>
        </w:rPr>
        <w:t>Sentaurus</w:t>
      </w:r>
      <w:r w:rsidRPr="001C1545">
        <w:rPr>
          <w:rFonts w:ascii="Times New Roman" w:eastAsia="TimesNewRomanPSMT" w:hAnsi="Times New Roman"/>
          <w:i/>
          <w:iCs/>
          <w:sz w:val="22"/>
          <w:szCs w:val="22"/>
        </w:rPr>
        <w:t xml:space="preserve"> TCAD 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при исследовании </w:t>
      </w:r>
      <w:r w:rsidR="00EE032B">
        <w:rPr>
          <w:rFonts w:ascii="Times New Roman" w:eastAsia="TimesNewRomanPSMT" w:hAnsi="Times New Roman"/>
          <w:sz w:val="22"/>
          <w:szCs w:val="22"/>
        </w:rPr>
        <w:t>магниточувствительных структур</w:t>
      </w:r>
      <w:r w:rsidRPr="001C1545">
        <w:rPr>
          <w:rFonts w:ascii="Times New Roman" w:eastAsia="TimesNewRomanPSMT" w:hAnsi="Times New Roman"/>
          <w:sz w:val="22"/>
          <w:szCs w:val="22"/>
        </w:rPr>
        <w:t xml:space="preserve"> на начальном этапе проводилась настройка модел</w:t>
      </w:r>
      <w:r w:rsidR="00EE032B">
        <w:rPr>
          <w:rFonts w:ascii="Times New Roman" w:eastAsia="TimesNewRomanPSMT" w:hAnsi="Times New Roman"/>
          <w:sz w:val="22"/>
          <w:szCs w:val="22"/>
        </w:rPr>
        <w:t>ей</w:t>
      </w:r>
      <w:r w:rsidRPr="001C1545">
        <w:rPr>
          <w:rFonts w:ascii="Times New Roman" w:eastAsia="TimesNewRomanPSMT" w:hAnsi="Times New Roman"/>
          <w:sz w:val="22"/>
          <w:szCs w:val="22"/>
        </w:rPr>
        <w:t>. Параметрами настройки служили время жизни носителей заряда, подвижность носителей заряда и скорость поверхностной рекомбинации.</w:t>
      </w:r>
      <w:r w:rsidR="00E216CD" w:rsidRPr="00E216CD">
        <w:rPr>
          <w:rFonts w:ascii="Times New Roman" w:eastAsia="TimesNewRomanPSMT" w:hAnsi="Times New Roman"/>
          <w:sz w:val="22"/>
          <w:szCs w:val="22"/>
        </w:rPr>
        <w:t xml:space="preserve"> </w:t>
      </w:r>
      <w:r w:rsidR="00E216CD">
        <w:rPr>
          <w:rFonts w:ascii="Times New Roman" w:eastAsia="TimesNewRomanPSMT" w:hAnsi="Times New Roman"/>
          <w:sz w:val="22"/>
          <w:szCs w:val="22"/>
        </w:rPr>
        <w:t xml:space="preserve">Значения токов на ВАХ указанных </w:t>
      </w:r>
      <w:proofErr w:type="spellStart"/>
      <w:r w:rsidR="00E216CD">
        <w:rPr>
          <w:rFonts w:ascii="Times New Roman" w:eastAsia="TimesNewRomanPSMT" w:hAnsi="Times New Roman"/>
          <w:sz w:val="22"/>
          <w:szCs w:val="22"/>
        </w:rPr>
        <w:t>магнитоэлементов</w:t>
      </w:r>
      <w:proofErr w:type="spellEnd"/>
      <w:r w:rsidR="00E216CD">
        <w:rPr>
          <w:rFonts w:ascii="Times New Roman" w:eastAsia="TimesNewRomanPSMT" w:hAnsi="Times New Roman"/>
          <w:sz w:val="22"/>
          <w:szCs w:val="22"/>
        </w:rPr>
        <w:t>, полученные с помощью приборно-технологического моделирования, отличались от измерений реальных образцов не более чем на 20%, что допустимо.</w:t>
      </w:r>
    </w:p>
    <w:p w:rsidR="001C1545" w:rsidRPr="00E216CD" w:rsidRDefault="00E216CD" w:rsidP="001C154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Заключение. Применение сре</w:t>
      </w:r>
      <w:proofErr w:type="gramStart"/>
      <w:r>
        <w:rPr>
          <w:rFonts w:ascii="Times New Roman" w:hAnsi="Times New Roman"/>
          <w:sz w:val="22"/>
          <w:szCs w:val="22"/>
        </w:rPr>
        <w:t>дств пр</w:t>
      </w:r>
      <w:proofErr w:type="gramEnd"/>
      <w:r>
        <w:rPr>
          <w:rFonts w:ascii="Times New Roman" w:hAnsi="Times New Roman"/>
          <w:sz w:val="22"/>
          <w:szCs w:val="22"/>
        </w:rPr>
        <w:t>иборно-технологического моделировани</w:t>
      </w:r>
      <w:r w:rsidR="00242F8F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значительно расширяет возможности исследователей, изучающих новые приборы и</w:t>
      </w:r>
      <w:r w:rsidRPr="00E216CD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 xml:space="preserve">или </w:t>
      </w:r>
      <w:r w:rsidR="00242F8F">
        <w:rPr>
          <w:rFonts w:ascii="Times New Roman" w:hAnsi="Times New Roman"/>
          <w:sz w:val="22"/>
          <w:szCs w:val="22"/>
        </w:rPr>
        <w:t xml:space="preserve">улучшающих параметры уже существующих – сокращает время и экономит затраты. </w:t>
      </w:r>
    </w:p>
    <w:p w:rsidR="00AC69B4" w:rsidRPr="007123FD" w:rsidRDefault="00AC69B4" w:rsidP="007123FD">
      <w:pPr>
        <w:rPr>
          <w:rFonts w:ascii="Times New Roman" w:hAnsi="Times New Roman"/>
          <w:sz w:val="22"/>
          <w:szCs w:val="22"/>
        </w:rPr>
      </w:pPr>
      <w:r w:rsidRPr="007123FD">
        <w:rPr>
          <w:rFonts w:ascii="Times New Roman" w:hAnsi="Times New Roman"/>
          <w:sz w:val="22"/>
          <w:szCs w:val="22"/>
        </w:rPr>
        <w:t>Литература</w:t>
      </w:r>
    </w:p>
    <w:p w:rsidR="003B5E98" w:rsidRPr="008E6424" w:rsidRDefault="00B27208" w:rsidP="007123F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3B5E98" w:rsidRPr="008E6424">
        <w:rPr>
          <w:rFonts w:ascii="Times New Roman" w:hAnsi="Times New Roman"/>
          <w:sz w:val="22"/>
          <w:szCs w:val="22"/>
        </w:rPr>
        <w:t>.</w:t>
      </w:r>
      <w:r w:rsidR="003B5E98">
        <w:rPr>
          <w:rFonts w:ascii="Times New Roman" w:hAnsi="Times New Roman"/>
          <w:sz w:val="22"/>
          <w:szCs w:val="22"/>
        </w:rPr>
        <w:t xml:space="preserve"> </w:t>
      </w:r>
      <w:r w:rsidR="008E6424">
        <w:rPr>
          <w:rFonts w:ascii="Times New Roman" w:hAnsi="Times New Roman"/>
          <w:sz w:val="22"/>
          <w:szCs w:val="22"/>
        </w:rPr>
        <w:t>Козлов</w:t>
      </w:r>
      <w:r w:rsidR="008E6424" w:rsidRPr="008E6424">
        <w:rPr>
          <w:rFonts w:ascii="Times New Roman" w:hAnsi="Times New Roman"/>
          <w:sz w:val="22"/>
          <w:szCs w:val="22"/>
        </w:rPr>
        <w:t xml:space="preserve"> </w:t>
      </w:r>
      <w:r w:rsidR="008E6424">
        <w:rPr>
          <w:rFonts w:ascii="Times New Roman" w:hAnsi="Times New Roman"/>
          <w:sz w:val="22"/>
          <w:szCs w:val="22"/>
        </w:rPr>
        <w:t>А.В., Королев</w:t>
      </w:r>
      <w:r w:rsidR="008E6424" w:rsidRPr="008E6424">
        <w:rPr>
          <w:rFonts w:ascii="Times New Roman" w:hAnsi="Times New Roman"/>
          <w:sz w:val="22"/>
          <w:szCs w:val="22"/>
        </w:rPr>
        <w:t xml:space="preserve"> </w:t>
      </w:r>
      <w:r w:rsidR="008E6424">
        <w:rPr>
          <w:rFonts w:ascii="Times New Roman" w:hAnsi="Times New Roman"/>
          <w:sz w:val="22"/>
          <w:szCs w:val="22"/>
        </w:rPr>
        <w:t xml:space="preserve">М.А., Петрунина С.С. Математическое моделирование влияния концентрации примеси на величину тока стока КНИ полевого датчика Холла </w:t>
      </w:r>
      <w:r w:rsidR="008E6424" w:rsidRPr="008E6424">
        <w:rPr>
          <w:rFonts w:ascii="Times New Roman" w:hAnsi="Times New Roman"/>
          <w:sz w:val="22"/>
          <w:szCs w:val="22"/>
        </w:rPr>
        <w:t xml:space="preserve">/ </w:t>
      </w:r>
      <w:r w:rsidR="008E6424">
        <w:rPr>
          <w:rFonts w:ascii="Times New Roman" w:hAnsi="Times New Roman"/>
          <w:sz w:val="22"/>
          <w:szCs w:val="22"/>
        </w:rPr>
        <w:t>Известия ВУЗов. Электроника. Том 20, №4, 2015г. стр.377-381.</w:t>
      </w:r>
    </w:p>
    <w:p w:rsidR="00AC69B4" w:rsidRPr="00E216CD" w:rsidRDefault="00B27208" w:rsidP="007123FD">
      <w:pPr>
        <w:rPr>
          <w:rFonts w:ascii="Times New Roman" w:hAnsi="Times New Roman"/>
          <w:sz w:val="22"/>
          <w:szCs w:val="22"/>
        </w:rPr>
      </w:pPr>
      <w:r w:rsidRPr="00E216CD">
        <w:rPr>
          <w:rFonts w:ascii="Times New Roman" w:hAnsi="Times New Roman"/>
          <w:sz w:val="22"/>
          <w:szCs w:val="22"/>
        </w:rPr>
        <w:t xml:space="preserve">2. </w:t>
      </w:r>
      <w:r w:rsidR="00E216CD" w:rsidRPr="00E216CD">
        <w:rPr>
          <w:rFonts w:ascii="Times New Roman" w:hAnsi="Times New Roman"/>
          <w:sz w:val="22"/>
          <w:szCs w:val="22"/>
        </w:rPr>
        <w:t xml:space="preserve">Р.Д. Тихонов, А.В. Козлов, А.Ю. Красюков, С.А. </w:t>
      </w:r>
      <w:proofErr w:type="spellStart"/>
      <w:r w:rsidR="00E216CD" w:rsidRPr="00E216CD">
        <w:rPr>
          <w:rFonts w:ascii="Times New Roman" w:hAnsi="Times New Roman"/>
          <w:sz w:val="22"/>
          <w:szCs w:val="22"/>
        </w:rPr>
        <w:t>Поломошнов</w:t>
      </w:r>
      <w:proofErr w:type="spellEnd"/>
      <w:r w:rsidR="00E216CD" w:rsidRPr="00E216CD">
        <w:rPr>
          <w:rFonts w:ascii="Times New Roman" w:hAnsi="Times New Roman"/>
          <w:sz w:val="22"/>
          <w:szCs w:val="22"/>
        </w:rPr>
        <w:t xml:space="preserve"> / Схема включения с минимизацией разбаланса напряжения двухколлекторного латерального биполярного магнитотранзистора // Современные проблемы </w:t>
      </w:r>
      <w:r w:rsidR="00E216CD" w:rsidRPr="00E216CD">
        <w:rPr>
          <w:rFonts w:ascii="Times New Roman" w:hAnsi="Times New Roman"/>
          <w:sz w:val="22"/>
          <w:szCs w:val="22"/>
        </w:rPr>
        <w:lastRenderedPageBreak/>
        <w:t>радиоэлектроники: сб. науч. тр. / ред.: А.И. Громыко, А.В. Сарафанов. – Красноярск: ИПК СФУ, 2008. – 498 с. стр. 227-230.</w:t>
      </w:r>
    </w:p>
    <w:sectPr w:rsidR="00AC69B4" w:rsidRPr="00E216CD" w:rsidSect="007123FD">
      <w:pgSz w:w="8392" w:h="11907" w:code="11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48" w:rsidRDefault="00452248">
      <w:r>
        <w:separator/>
      </w:r>
    </w:p>
  </w:endnote>
  <w:endnote w:type="continuationSeparator" w:id="0">
    <w:p w:rsidR="00452248" w:rsidRDefault="004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48" w:rsidRDefault="00452248">
      <w:r>
        <w:separator/>
      </w:r>
    </w:p>
  </w:footnote>
  <w:footnote w:type="continuationSeparator" w:id="0">
    <w:p w:rsidR="00452248" w:rsidRDefault="0045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40B2"/>
    <w:multiLevelType w:val="hybridMultilevel"/>
    <w:tmpl w:val="3E20B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1409BC"/>
    <w:multiLevelType w:val="hybridMultilevel"/>
    <w:tmpl w:val="2F309F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1F0458F"/>
    <w:multiLevelType w:val="hybridMultilevel"/>
    <w:tmpl w:val="9BE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B05E4"/>
    <w:multiLevelType w:val="hybridMultilevel"/>
    <w:tmpl w:val="48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8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1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5351"/>
    <w:rsid w:val="00006099"/>
    <w:rsid w:val="00015FA2"/>
    <w:rsid w:val="00056B83"/>
    <w:rsid w:val="000618AA"/>
    <w:rsid w:val="000737E8"/>
    <w:rsid w:val="00076B16"/>
    <w:rsid w:val="000773DE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1027A4"/>
    <w:rsid w:val="00127310"/>
    <w:rsid w:val="00127CC3"/>
    <w:rsid w:val="00141512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3B8D"/>
    <w:rsid w:val="001B424C"/>
    <w:rsid w:val="001B6284"/>
    <w:rsid w:val="001C1545"/>
    <w:rsid w:val="001E0EAA"/>
    <w:rsid w:val="001F7A6F"/>
    <w:rsid w:val="00210D9C"/>
    <w:rsid w:val="00227DD6"/>
    <w:rsid w:val="00242F8F"/>
    <w:rsid w:val="00270C9B"/>
    <w:rsid w:val="00276158"/>
    <w:rsid w:val="00285551"/>
    <w:rsid w:val="00293826"/>
    <w:rsid w:val="00297543"/>
    <w:rsid w:val="002A0A32"/>
    <w:rsid w:val="002A1DE4"/>
    <w:rsid w:val="002B5088"/>
    <w:rsid w:val="002D1EF9"/>
    <w:rsid w:val="002E2168"/>
    <w:rsid w:val="00322138"/>
    <w:rsid w:val="003263FA"/>
    <w:rsid w:val="00341414"/>
    <w:rsid w:val="00347D68"/>
    <w:rsid w:val="003575C1"/>
    <w:rsid w:val="00374475"/>
    <w:rsid w:val="00392CA2"/>
    <w:rsid w:val="003A0304"/>
    <w:rsid w:val="003B5E98"/>
    <w:rsid w:val="003C2011"/>
    <w:rsid w:val="003C479E"/>
    <w:rsid w:val="003C5570"/>
    <w:rsid w:val="003D3F45"/>
    <w:rsid w:val="003D5B0F"/>
    <w:rsid w:val="003F1423"/>
    <w:rsid w:val="00412171"/>
    <w:rsid w:val="004152CE"/>
    <w:rsid w:val="004155E2"/>
    <w:rsid w:val="00422A5C"/>
    <w:rsid w:val="0043660B"/>
    <w:rsid w:val="00442CDE"/>
    <w:rsid w:val="00452248"/>
    <w:rsid w:val="004543CF"/>
    <w:rsid w:val="004905A0"/>
    <w:rsid w:val="00491868"/>
    <w:rsid w:val="0049426E"/>
    <w:rsid w:val="00496B6C"/>
    <w:rsid w:val="004A01F1"/>
    <w:rsid w:val="004A18EB"/>
    <w:rsid w:val="004A3C54"/>
    <w:rsid w:val="004A591B"/>
    <w:rsid w:val="004B5A26"/>
    <w:rsid w:val="005059BD"/>
    <w:rsid w:val="005139F2"/>
    <w:rsid w:val="00524306"/>
    <w:rsid w:val="0052556C"/>
    <w:rsid w:val="00540020"/>
    <w:rsid w:val="00540087"/>
    <w:rsid w:val="00544956"/>
    <w:rsid w:val="005466DA"/>
    <w:rsid w:val="00554B02"/>
    <w:rsid w:val="005650DD"/>
    <w:rsid w:val="00566536"/>
    <w:rsid w:val="00574530"/>
    <w:rsid w:val="0057735C"/>
    <w:rsid w:val="005805A0"/>
    <w:rsid w:val="00584332"/>
    <w:rsid w:val="005A28E9"/>
    <w:rsid w:val="005A5F76"/>
    <w:rsid w:val="005B462F"/>
    <w:rsid w:val="005D2B0D"/>
    <w:rsid w:val="005D2E14"/>
    <w:rsid w:val="005E44FD"/>
    <w:rsid w:val="005E5FEB"/>
    <w:rsid w:val="005F5F73"/>
    <w:rsid w:val="00602664"/>
    <w:rsid w:val="00606FC2"/>
    <w:rsid w:val="00607802"/>
    <w:rsid w:val="00610F57"/>
    <w:rsid w:val="0061538F"/>
    <w:rsid w:val="00656FF9"/>
    <w:rsid w:val="00697882"/>
    <w:rsid w:val="006B7D8B"/>
    <w:rsid w:val="006C0410"/>
    <w:rsid w:val="006C30F5"/>
    <w:rsid w:val="006D2853"/>
    <w:rsid w:val="006F15AA"/>
    <w:rsid w:val="007123FD"/>
    <w:rsid w:val="00713D1B"/>
    <w:rsid w:val="00720F73"/>
    <w:rsid w:val="00721EB7"/>
    <w:rsid w:val="007246F5"/>
    <w:rsid w:val="00732A99"/>
    <w:rsid w:val="007405C6"/>
    <w:rsid w:val="00766E26"/>
    <w:rsid w:val="0078697F"/>
    <w:rsid w:val="007B3F5E"/>
    <w:rsid w:val="007D23CE"/>
    <w:rsid w:val="007D3FBC"/>
    <w:rsid w:val="007F0BDA"/>
    <w:rsid w:val="007F24D3"/>
    <w:rsid w:val="00802AEB"/>
    <w:rsid w:val="00802CF3"/>
    <w:rsid w:val="0080498C"/>
    <w:rsid w:val="00820A7F"/>
    <w:rsid w:val="00823C30"/>
    <w:rsid w:val="00827103"/>
    <w:rsid w:val="008551EC"/>
    <w:rsid w:val="00861656"/>
    <w:rsid w:val="00876D45"/>
    <w:rsid w:val="00887BA5"/>
    <w:rsid w:val="008B50D6"/>
    <w:rsid w:val="008E457F"/>
    <w:rsid w:val="008E6424"/>
    <w:rsid w:val="008E7F13"/>
    <w:rsid w:val="0091055F"/>
    <w:rsid w:val="00932827"/>
    <w:rsid w:val="00954089"/>
    <w:rsid w:val="00965D94"/>
    <w:rsid w:val="00970066"/>
    <w:rsid w:val="009718A4"/>
    <w:rsid w:val="00974F1D"/>
    <w:rsid w:val="009755B1"/>
    <w:rsid w:val="0099632C"/>
    <w:rsid w:val="0099783F"/>
    <w:rsid w:val="009A0C07"/>
    <w:rsid w:val="009A5A24"/>
    <w:rsid w:val="009B466A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70B1A"/>
    <w:rsid w:val="00A76666"/>
    <w:rsid w:val="00A863F8"/>
    <w:rsid w:val="00A873FC"/>
    <w:rsid w:val="00A87411"/>
    <w:rsid w:val="00A9751A"/>
    <w:rsid w:val="00AA6CE4"/>
    <w:rsid w:val="00AB0848"/>
    <w:rsid w:val="00AB084B"/>
    <w:rsid w:val="00AB08F6"/>
    <w:rsid w:val="00AB0A9D"/>
    <w:rsid w:val="00AB2BA0"/>
    <w:rsid w:val="00AC3DDC"/>
    <w:rsid w:val="00AC69B4"/>
    <w:rsid w:val="00AC73BA"/>
    <w:rsid w:val="00AD2607"/>
    <w:rsid w:val="00AF37E5"/>
    <w:rsid w:val="00AF3A58"/>
    <w:rsid w:val="00B02D7E"/>
    <w:rsid w:val="00B05FBF"/>
    <w:rsid w:val="00B21A82"/>
    <w:rsid w:val="00B247D7"/>
    <w:rsid w:val="00B27208"/>
    <w:rsid w:val="00B311D7"/>
    <w:rsid w:val="00B37688"/>
    <w:rsid w:val="00B4137C"/>
    <w:rsid w:val="00B47892"/>
    <w:rsid w:val="00B55F87"/>
    <w:rsid w:val="00B57770"/>
    <w:rsid w:val="00B92D6D"/>
    <w:rsid w:val="00B95B6B"/>
    <w:rsid w:val="00BA7A80"/>
    <w:rsid w:val="00BB2D08"/>
    <w:rsid w:val="00BB566E"/>
    <w:rsid w:val="00BC3AB3"/>
    <w:rsid w:val="00BE3029"/>
    <w:rsid w:val="00BE43ED"/>
    <w:rsid w:val="00BF14C7"/>
    <w:rsid w:val="00BF72EC"/>
    <w:rsid w:val="00C12BDF"/>
    <w:rsid w:val="00C21B97"/>
    <w:rsid w:val="00C21C0A"/>
    <w:rsid w:val="00C26397"/>
    <w:rsid w:val="00C475A5"/>
    <w:rsid w:val="00C56B6B"/>
    <w:rsid w:val="00C65B82"/>
    <w:rsid w:val="00C81A2F"/>
    <w:rsid w:val="00C8557B"/>
    <w:rsid w:val="00CA3AEC"/>
    <w:rsid w:val="00CD50FA"/>
    <w:rsid w:val="00CD6C0D"/>
    <w:rsid w:val="00CE3168"/>
    <w:rsid w:val="00CF66F5"/>
    <w:rsid w:val="00D017E5"/>
    <w:rsid w:val="00D033B0"/>
    <w:rsid w:val="00D3638D"/>
    <w:rsid w:val="00D506C2"/>
    <w:rsid w:val="00D52AA0"/>
    <w:rsid w:val="00D53F3B"/>
    <w:rsid w:val="00D60921"/>
    <w:rsid w:val="00D668C8"/>
    <w:rsid w:val="00D72D58"/>
    <w:rsid w:val="00D77010"/>
    <w:rsid w:val="00D9188F"/>
    <w:rsid w:val="00D91C4C"/>
    <w:rsid w:val="00D94E3A"/>
    <w:rsid w:val="00DA4AF5"/>
    <w:rsid w:val="00DB243B"/>
    <w:rsid w:val="00DD17A8"/>
    <w:rsid w:val="00DE3610"/>
    <w:rsid w:val="00DE661E"/>
    <w:rsid w:val="00DF4C60"/>
    <w:rsid w:val="00E21372"/>
    <w:rsid w:val="00E216CD"/>
    <w:rsid w:val="00E2697B"/>
    <w:rsid w:val="00E62CCD"/>
    <w:rsid w:val="00E66098"/>
    <w:rsid w:val="00E703E5"/>
    <w:rsid w:val="00E84C45"/>
    <w:rsid w:val="00ED2B00"/>
    <w:rsid w:val="00EE032B"/>
    <w:rsid w:val="00EE5580"/>
    <w:rsid w:val="00EF1FC6"/>
    <w:rsid w:val="00F06CFF"/>
    <w:rsid w:val="00F13A48"/>
    <w:rsid w:val="00F20771"/>
    <w:rsid w:val="00F22D34"/>
    <w:rsid w:val="00F3243A"/>
    <w:rsid w:val="00F42771"/>
    <w:rsid w:val="00F446EC"/>
    <w:rsid w:val="00F52303"/>
    <w:rsid w:val="00F55328"/>
    <w:rsid w:val="00F75CF9"/>
    <w:rsid w:val="00F81E43"/>
    <w:rsid w:val="00F909FD"/>
    <w:rsid w:val="00FA239D"/>
    <w:rsid w:val="00FB3C35"/>
    <w:rsid w:val="00FB6E60"/>
    <w:rsid w:val="00FC0BE4"/>
    <w:rsid w:val="00FC50CB"/>
    <w:rsid w:val="00FC6AA9"/>
    <w:rsid w:val="00FD3AEE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styleId="af0">
    <w:name w:val="List Paragraph"/>
    <w:basedOn w:val="a"/>
    <w:uiPriority w:val="34"/>
    <w:qFormat/>
    <w:rsid w:val="0097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9834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Александр</dc:creator>
  <cp:lastModifiedBy>Anton</cp:lastModifiedBy>
  <cp:revision>2</cp:revision>
  <cp:lastPrinted>2017-10-25T09:42:00Z</cp:lastPrinted>
  <dcterms:created xsi:type="dcterms:W3CDTF">2017-11-12T14:30:00Z</dcterms:created>
  <dcterms:modified xsi:type="dcterms:W3CDTF">2017-11-12T14:30:00Z</dcterms:modified>
</cp:coreProperties>
</file>